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9AE8BC">
      <w:pPr>
        <w:spacing w:line="360" w:lineRule="auto"/>
        <w:ind w:left="-178" w:leftChars="-85" w:right="-153" w:rightChars="-73" w:firstLine="964"/>
        <w:jc w:val="center"/>
        <w:rPr>
          <w:rFonts w:hint="eastAsia" w:asciiTheme="majorEastAsia" w:hAnsiTheme="majorEastAsia" w:eastAsiaTheme="majorEastAsia" w:cstheme="majorEastAsia"/>
          <w:b/>
          <w:bCs/>
          <w:sz w:val="48"/>
          <w:szCs w:val="48"/>
        </w:rPr>
      </w:pPr>
      <w:r>
        <w:rPr>
          <w:rFonts w:hint="eastAsia" w:ascii="仿宋_GB2312" w:hAnsi="黑体" w:eastAsia="仿宋_GB2312" w:cs="黑体"/>
          <w:bCs/>
          <w:sz w:val="30"/>
          <w:szCs w:val="30"/>
        </w:rPr>
        <w:tab/>
      </w:r>
      <w:bookmarkStart w:id="0" w:name="OLE_LINK3"/>
    </w:p>
    <w:p w14:paraId="2297CC53">
      <w:pPr>
        <w:spacing w:line="360" w:lineRule="auto"/>
        <w:ind w:left="-178" w:leftChars="-85" w:right="-153" w:rightChars="-73" w:firstLine="964"/>
        <w:jc w:val="center"/>
        <w:rPr>
          <w:rFonts w:hint="eastAsia" w:asciiTheme="majorEastAsia" w:hAnsiTheme="majorEastAsia" w:eastAsiaTheme="majorEastAsia" w:cstheme="majorEastAsia"/>
          <w:b/>
          <w:bCs/>
          <w:sz w:val="48"/>
          <w:szCs w:val="48"/>
        </w:rPr>
      </w:pPr>
    </w:p>
    <w:p w14:paraId="24B619AB">
      <w:pPr>
        <w:spacing w:line="480" w:lineRule="auto"/>
        <w:jc w:val="center"/>
        <w:rPr>
          <w:rFonts w:hint="eastAsia" w:asciiTheme="majorEastAsia" w:hAnsiTheme="majorEastAsia" w:eastAsiaTheme="majorEastAsia" w:cstheme="majorEastAsia"/>
          <w:b/>
          <w:bCs/>
          <w:sz w:val="48"/>
          <w:szCs w:val="48"/>
        </w:rPr>
      </w:pPr>
      <w:r>
        <w:rPr>
          <w:rFonts w:hint="eastAsia" w:asciiTheme="majorEastAsia" w:hAnsiTheme="majorEastAsia" w:eastAsiaTheme="majorEastAsia" w:cstheme="majorEastAsia"/>
          <w:b/>
          <w:bCs/>
          <w:sz w:val="48"/>
          <w:szCs w:val="48"/>
        </w:rPr>
        <w:t>“四个监督”智慧监督赋能平台项目</w:t>
      </w:r>
    </w:p>
    <w:p w14:paraId="3ACBC3D5">
      <w:pPr>
        <w:spacing w:line="480" w:lineRule="auto"/>
        <w:jc w:val="center"/>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b/>
          <w:bCs/>
          <w:sz w:val="48"/>
          <w:szCs w:val="48"/>
        </w:rPr>
        <w:t>询价文件</w:t>
      </w:r>
    </w:p>
    <w:p w14:paraId="65AA8562">
      <w:pPr>
        <w:spacing w:line="360" w:lineRule="auto"/>
        <w:ind w:firstLine="640"/>
        <w:rPr>
          <w:rFonts w:hint="eastAsia" w:asciiTheme="majorEastAsia" w:hAnsiTheme="majorEastAsia" w:eastAsiaTheme="majorEastAsia" w:cstheme="majorEastAsia"/>
          <w:sz w:val="32"/>
          <w:szCs w:val="32"/>
        </w:rPr>
      </w:pPr>
    </w:p>
    <w:p w14:paraId="2C4A153C">
      <w:pPr>
        <w:spacing w:line="360" w:lineRule="auto"/>
        <w:ind w:firstLine="640"/>
        <w:rPr>
          <w:rFonts w:hint="eastAsia" w:asciiTheme="majorEastAsia" w:hAnsiTheme="majorEastAsia" w:eastAsiaTheme="majorEastAsia" w:cstheme="majorEastAsia"/>
          <w:sz w:val="32"/>
          <w:szCs w:val="32"/>
        </w:rPr>
      </w:pPr>
    </w:p>
    <w:p w14:paraId="128526AB">
      <w:pPr>
        <w:spacing w:line="360" w:lineRule="auto"/>
        <w:ind w:firstLine="640"/>
        <w:rPr>
          <w:rFonts w:hint="eastAsia" w:asciiTheme="majorEastAsia" w:hAnsiTheme="majorEastAsia" w:eastAsiaTheme="majorEastAsia" w:cstheme="majorEastAsia"/>
          <w:sz w:val="32"/>
          <w:szCs w:val="32"/>
        </w:rPr>
      </w:pPr>
    </w:p>
    <w:p w14:paraId="3EB34860">
      <w:pPr>
        <w:spacing w:line="360" w:lineRule="auto"/>
        <w:ind w:firstLine="640"/>
        <w:rPr>
          <w:rFonts w:hint="eastAsia" w:asciiTheme="majorEastAsia" w:hAnsiTheme="majorEastAsia" w:eastAsiaTheme="majorEastAsia" w:cstheme="majorEastAsia"/>
          <w:sz w:val="32"/>
          <w:szCs w:val="32"/>
        </w:rPr>
      </w:pPr>
    </w:p>
    <w:p w14:paraId="5FCEA058">
      <w:pPr>
        <w:spacing w:line="360" w:lineRule="auto"/>
        <w:ind w:firstLine="640"/>
        <w:rPr>
          <w:rFonts w:hint="eastAsia" w:asciiTheme="majorEastAsia" w:hAnsiTheme="majorEastAsia" w:eastAsiaTheme="majorEastAsia" w:cstheme="majorEastAsia"/>
          <w:sz w:val="32"/>
          <w:szCs w:val="32"/>
        </w:rPr>
      </w:pPr>
    </w:p>
    <w:p w14:paraId="4454208A">
      <w:pPr>
        <w:spacing w:line="360" w:lineRule="auto"/>
        <w:ind w:firstLine="640"/>
        <w:rPr>
          <w:rFonts w:hint="eastAsia" w:asciiTheme="majorEastAsia" w:hAnsiTheme="majorEastAsia" w:eastAsiaTheme="majorEastAsia" w:cstheme="majorEastAsia"/>
          <w:sz w:val="32"/>
          <w:szCs w:val="32"/>
        </w:rPr>
      </w:pPr>
    </w:p>
    <w:p w14:paraId="6B9B307A">
      <w:pPr>
        <w:spacing w:line="360" w:lineRule="auto"/>
        <w:ind w:firstLine="640"/>
        <w:rPr>
          <w:rFonts w:hint="eastAsia" w:asciiTheme="majorEastAsia" w:hAnsiTheme="majorEastAsia" w:eastAsiaTheme="majorEastAsia" w:cstheme="majorEastAsia"/>
          <w:sz w:val="32"/>
          <w:szCs w:val="32"/>
        </w:rPr>
      </w:pPr>
    </w:p>
    <w:p w14:paraId="3279A90E">
      <w:pPr>
        <w:spacing w:line="360" w:lineRule="auto"/>
        <w:ind w:left="1844" w:leftChars="200" w:hanging="1424" w:hangingChars="445"/>
        <w:rPr>
          <w:rFonts w:hint="eastAsia" w:asciiTheme="majorEastAsia" w:hAnsiTheme="majorEastAsia" w:eastAsiaTheme="majorEastAsia" w:cstheme="majorEastAsia"/>
          <w:sz w:val="32"/>
          <w:szCs w:val="32"/>
        </w:rPr>
      </w:pPr>
    </w:p>
    <w:p w14:paraId="08C95583"/>
    <w:p w14:paraId="468DA5DC">
      <w:pPr>
        <w:spacing w:line="360" w:lineRule="auto"/>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三明市数据集团有限公司</w:t>
      </w:r>
    </w:p>
    <w:p w14:paraId="6C87CE40">
      <w:pPr>
        <w:spacing w:line="360" w:lineRule="auto"/>
        <w:jc w:val="center"/>
        <w:rPr>
          <w:rFonts w:hint="eastAsia" w:asciiTheme="majorEastAsia" w:hAnsiTheme="majorEastAsia" w:eastAsiaTheme="majorEastAsia" w:cstheme="majorEastAsia"/>
          <w:b/>
          <w:bCs/>
          <w:sz w:val="32"/>
          <w:szCs w:val="32"/>
        </w:rPr>
        <w:sectPr>
          <w:footerReference r:id="rId3" w:type="default"/>
          <w:pgSz w:w="11906" w:h="16838"/>
          <w:pgMar w:top="1361" w:right="1797" w:bottom="1361" w:left="1797" w:header="851" w:footer="992" w:gutter="0"/>
          <w:cols w:space="720" w:num="1"/>
          <w:docGrid w:type="lines" w:linePitch="312" w:charSpace="0"/>
        </w:sectPr>
      </w:pPr>
      <w:r>
        <w:rPr>
          <w:rFonts w:hint="eastAsia" w:asciiTheme="majorEastAsia" w:hAnsiTheme="majorEastAsia" w:eastAsiaTheme="majorEastAsia" w:cstheme="majorEastAsia"/>
          <w:b/>
          <w:bCs/>
          <w:sz w:val="32"/>
          <w:szCs w:val="32"/>
        </w:rPr>
        <w:t>2026年</w:t>
      </w:r>
      <w:r>
        <w:rPr>
          <w:rFonts w:hint="eastAsia" w:asciiTheme="majorEastAsia" w:hAnsiTheme="majorEastAsia" w:eastAsiaTheme="majorEastAsia" w:cstheme="majorEastAsia"/>
          <w:b/>
          <w:bCs/>
          <w:sz w:val="32"/>
          <w:szCs w:val="32"/>
          <w:lang w:val="en-US" w:eastAsia="zh-CN"/>
        </w:rPr>
        <w:t>6</w:t>
      </w:r>
      <w:r>
        <w:rPr>
          <w:rFonts w:hint="eastAsia" w:asciiTheme="majorEastAsia" w:hAnsiTheme="majorEastAsia" w:eastAsiaTheme="majorEastAsia" w:cstheme="majorEastAsia"/>
          <w:b/>
          <w:bCs/>
          <w:sz w:val="32"/>
          <w:szCs w:val="32"/>
        </w:rPr>
        <w:t>月</w:t>
      </w:r>
    </w:p>
    <w:bookmarkEnd w:id="0"/>
    <w:p w14:paraId="7425D5C1">
      <w:pPr>
        <w:jc w:val="center"/>
        <w:rPr>
          <w:rFonts w:hint="eastAsia" w:asciiTheme="majorEastAsia" w:hAnsiTheme="majorEastAsia" w:eastAsiaTheme="majorEastAsia"/>
          <w:b/>
          <w:bCs/>
          <w:sz w:val="32"/>
          <w:szCs w:val="32"/>
          <w:u w:val="single"/>
        </w:rPr>
      </w:pPr>
      <w:r>
        <w:rPr>
          <w:rFonts w:hint="eastAsia" w:asciiTheme="majorEastAsia" w:hAnsiTheme="majorEastAsia" w:eastAsiaTheme="majorEastAsia"/>
          <w:b/>
          <w:bCs/>
          <w:sz w:val="32"/>
          <w:szCs w:val="32"/>
          <w:u w:val="single"/>
        </w:rPr>
        <w:t>“四个监督”智慧监督赋能平台项目询价</w:t>
      </w:r>
    </w:p>
    <w:p w14:paraId="1CB69F8A">
      <w:pPr>
        <w:pStyle w:val="5"/>
        <w:spacing w:line="520" w:lineRule="exact"/>
        <w:ind w:firstLine="480" w:firstLineChars="200"/>
        <w:rPr>
          <w:rFonts w:hint="eastAsia" w:asciiTheme="minorEastAsia" w:hAnsiTheme="minorEastAsia" w:cstheme="minorEastAsia"/>
          <w:sz w:val="24"/>
          <w:szCs w:val="24"/>
        </w:rPr>
      </w:pPr>
      <w:r>
        <w:rPr>
          <w:rFonts w:hint="eastAsia" w:asciiTheme="minorEastAsia" w:hAnsiTheme="minorEastAsia" w:cstheme="minorEastAsia"/>
          <w:sz w:val="24"/>
          <w:szCs w:val="24"/>
        </w:rPr>
        <w:t>为深入贯彻落实二十届中央纪委五次全会精神“深化以案促改促治，注重科技赋能，加快推进数字纪检监察体系建设”，对平台进行优化监督类型、工作提示、纪检监察建议、建章立制、优化评分体系、量化评价等进行优化提升改造升级为“四个监督”智慧监督赋能平台，使新平台更加符合智慧监督要求。推进系统提升改造工作，及时完成相关修改与完善，使平台更加智能。我司拟采购提升改造服务，现进行公开询价，诚邀符合条件供应商结合自身技术能力提供报价。</w:t>
      </w:r>
    </w:p>
    <w:p w14:paraId="52B6F4CB">
      <w:pPr>
        <w:pStyle w:val="4"/>
        <w:spacing w:before="0" w:after="0"/>
        <w:rPr>
          <w:rFonts w:hint="eastAsia" w:ascii="黑体" w:hAnsi="黑体"/>
          <w:sz w:val="28"/>
          <w:szCs w:val="28"/>
        </w:rPr>
      </w:pPr>
      <w:r>
        <w:rPr>
          <w:rFonts w:hint="eastAsia" w:ascii="黑体" w:hAnsi="黑体"/>
          <w:sz w:val="28"/>
          <w:szCs w:val="28"/>
        </w:rPr>
        <w:t>一、项目概况</w:t>
      </w:r>
    </w:p>
    <w:p w14:paraId="5B6D3E99">
      <w:pPr>
        <w:tabs>
          <w:tab w:val="left" w:pos="720"/>
          <w:tab w:val="left" w:pos="6015"/>
        </w:tabs>
        <w:spacing w:line="360" w:lineRule="auto"/>
        <w:ind w:firstLine="482" w:firstLineChars="200"/>
        <w:rPr>
          <w:rFonts w:hint="eastAsia" w:asciiTheme="minorEastAsia" w:hAnsiTheme="minorEastAsia" w:cstheme="minorEastAsia"/>
          <w:sz w:val="24"/>
        </w:rPr>
      </w:pPr>
      <w:r>
        <w:rPr>
          <w:rFonts w:hint="eastAsia" w:asciiTheme="minorEastAsia" w:hAnsiTheme="minorEastAsia" w:cstheme="minorEastAsia"/>
          <w:b/>
          <w:bCs/>
          <w:sz w:val="24"/>
        </w:rPr>
        <w:t>1、</w:t>
      </w:r>
      <w:r>
        <w:rPr>
          <w:rFonts w:asciiTheme="minorEastAsia" w:hAnsiTheme="minorEastAsia" w:cstheme="minorEastAsia"/>
          <w:b/>
          <w:bCs/>
          <w:sz w:val="24"/>
        </w:rPr>
        <w:t>项目名称：</w:t>
      </w:r>
      <w:bookmarkStart w:id="1" w:name="OLE_LINK4"/>
      <w:r>
        <w:rPr>
          <w:rFonts w:hint="eastAsia" w:asciiTheme="minorEastAsia" w:hAnsiTheme="minorEastAsia" w:cstheme="minorEastAsia"/>
          <w:sz w:val="24"/>
        </w:rPr>
        <w:t>“四个监督”智慧监督赋能平台项目</w:t>
      </w:r>
    </w:p>
    <w:bookmarkEnd w:id="1"/>
    <w:p w14:paraId="3D7C027F">
      <w:pPr>
        <w:tabs>
          <w:tab w:val="left" w:pos="720"/>
          <w:tab w:val="left" w:pos="6015"/>
        </w:tabs>
        <w:spacing w:line="360" w:lineRule="auto"/>
        <w:ind w:firstLine="482" w:firstLineChars="200"/>
        <w:rPr>
          <w:rFonts w:hint="eastAsia" w:asciiTheme="minorEastAsia" w:hAnsiTheme="minorEastAsia" w:cstheme="minorEastAsia"/>
          <w:sz w:val="24"/>
        </w:rPr>
      </w:pPr>
      <w:r>
        <w:rPr>
          <w:rFonts w:hint="eastAsia" w:asciiTheme="minorEastAsia" w:hAnsiTheme="minorEastAsia" w:cstheme="minorEastAsia"/>
          <w:b/>
          <w:bCs/>
          <w:sz w:val="24"/>
        </w:rPr>
        <w:t>2、交付时间：</w:t>
      </w:r>
      <w:r>
        <w:rPr>
          <w:rFonts w:hint="eastAsia" w:asciiTheme="minorEastAsia" w:hAnsiTheme="minorEastAsia" w:cstheme="minorEastAsia"/>
          <w:sz w:val="24"/>
        </w:rPr>
        <w:t>签订合同后一个月内完成“四个监督”智慧监督赋能平台并通过验收。</w:t>
      </w:r>
    </w:p>
    <w:p w14:paraId="4AB8CE64">
      <w:pPr>
        <w:tabs>
          <w:tab w:val="left" w:pos="720"/>
          <w:tab w:val="left" w:pos="6015"/>
        </w:tabs>
        <w:spacing w:line="360" w:lineRule="auto"/>
        <w:ind w:firstLine="482" w:firstLineChars="200"/>
        <w:rPr>
          <w:rFonts w:hint="eastAsia" w:asciiTheme="minorEastAsia" w:hAnsiTheme="minorEastAsia" w:cstheme="minorEastAsia"/>
          <w:sz w:val="24"/>
        </w:rPr>
      </w:pPr>
      <w:r>
        <w:rPr>
          <w:rFonts w:hint="eastAsia" w:asciiTheme="minorEastAsia" w:hAnsiTheme="minorEastAsia" w:cstheme="minorEastAsia"/>
          <w:b/>
          <w:bCs/>
          <w:sz w:val="24"/>
        </w:rPr>
        <w:t>3、服务地点：</w:t>
      </w:r>
      <w:r>
        <w:rPr>
          <w:rFonts w:hint="eastAsia" w:asciiTheme="minorEastAsia" w:hAnsiTheme="minorEastAsia" w:cstheme="minorEastAsia"/>
          <w:sz w:val="24"/>
        </w:rPr>
        <w:t>三明市</w:t>
      </w:r>
    </w:p>
    <w:p w14:paraId="25E897CC">
      <w:pPr>
        <w:tabs>
          <w:tab w:val="left" w:pos="720"/>
          <w:tab w:val="left" w:pos="6015"/>
        </w:tabs>
        <w:spacing w:line="360" w:lineRule="auto"/>
        <w:ind w:firstLine="482" w:firstLineChars="200"/>
        <w:rPr>
          <w:rFonts w:hint="eastAsia" w:hAnsi="仿宋"/>
          <w:sz w:val="24"/>
          <w:lang w:val="zh-TW"/>
        </w:rPr>
      </w:pPr>
      <w:r>
        <w:rPr>
          <w:rFonts w:hint="eastAsia" w:asciiTheme="minorEastAsia" w:hAnsiTheme="minorEastAsia" w:cstheme="minorEastAsia"/>
          <w:b/>
          <w:bCs/>
          <w:sz w:val="24"/>
        </w:rPr>
        <w:t>4、项目背景：</w:t>
      </w:r>
      <w:r>
        <w:rPr>
          <w:rFonts w:asciiTheme="minorEastAsia" w:hAnsiTheme="minorEastAsia" w:cstheme="minorEastAsia"/>
          <w:sz w:val="24"/>
        </w:rPr>
        <w:t>平台需通过一次性集中改造，实现</w:t>
      </w:r>
      <w:r>
        <w:rPr>
          <w:rFonts w:hint="eastAsia" w:asciiTheme="minorEastAsia" w:hAnsiTheme="minorEastAsia" w:cstheme="minorEastAsia"/>
          <w:sz w:val="24"/>
        </w:rPr>
        <w:t>原平台替换改</w:t>
      </w:r>
      <w:r>
        <w:rPr>
          <w:rFonts w:hint="eastAsia" w:hAnsi="仿宋"/>
          <w:sz w:val="24"/>
          <w:lang w:val="zh-TW"/>
        </w:rPr>
        <w:t>造、数据安全闭环构建、数据治理提质、AI精准监督体系搭建等核心目标，全面达成既定优化成效。</w:t>
      </w:r>
    </w:p>
    <w:p w14:paraId="4D85D80B">
      <w:pPr>
        <w:pStyle w:val="4"/>
        <w:spacing w:before="0" w:after="0"/>
        <w:rPr>
          <w:rFonts w:hint="eastAsia" w:ascii="黑体" w:hAnsi="黑体"/>
          <w:sz w:val="28"/>
          <w:szCs w:val="28"/>
        </w:rPr>
      </w:pPr>
      <w:r>
        <w:rPr>
          <w:rFonts w:ascii="黑体" w:hAnsi="黑体"/>
          <w:sz w:val="28"/>
          <w:szCs w:val="28"/>
        </w:rPr>
        <w:t>二、询价范围及核心服务要求</w:t>
      </w:r>
    </w:p>
    <w:p w14:paraId="3A5FD9DE">
      <w:pPr>
        <w:pStyle w:val="5"/>
        <w:spacing w:line="360" w:lineRule="auto"/>
        <w:rPr>
          <w:rFonts w:hAnsi="仿宋"/>
          <w:b/>
          <w:bCs/>
          <w:sz w:val="24"/>
          <w:szCs w:val="24"/>
          <w:lang w:val="zh-TW"/>
        </w:rPr>
      </w:pPr>
      <w:r>
        <w:rPr>
          <w:rFonts w:hint="eastAsia" w:hAnsi="仿宋"/>
          <w:b/>
          <w:bCs/>
          <w:sz w:val="24"/>
          <w:szCs w:val="24"/>
          <w:lang w:val="zh-TW"/>
        </w:rPr>
        <w:t>采购内容的技术要求：</w:t>
      </w:r>
    </w:p>
    <w:p w14:paraId="5E6DAC40">
      <w:pPr>
        <w:pStyle w:val="5"/>
        <w:spacing w:line="360" w:lineRule="auto"/>
        <w:rPr>
          <w:rFonts w:hint="eastAsia" w:hAnsi="仿宋"/>
          <w:sz w:val="24"/>
          <w:szCs w:val="24"/>
          <w:lang w:val="zh-TW"/>
        </w:rPr>
      </w:pPr>
      <w:r>
        <w:rPr>
          <w:rFonts w:hint="eastAsia" w:hAnsi="仿宋"/>
          <w:sz w:val="24"/>
          <w:szCs w:val="24"/>
          <w:lang w:val="zh-TW"/>
        </w:rPr>
        <w:t>本项目不统一组织现场踏勘，各潜在询价人如有需要，请自行了解情况并自行现场踏勘，现场踏勘的所有费用及人员安全等事项由各潜在询价人自行负责；如不进行现场踏勘的潜在投标人则视为理解采购需求，自行承担后果。</w:t>
      </w:r>
    </w:p>
    <w:p w14:paraId="73BAD565">
      <w:pPr>
        <w:pStyle w:val="5"/>
        <w:spacing w:line="360" w:lineRule="auto"/>
        <w:rPr>
          <w:rFonts w:hint="eastAsia" w:hAnsi="仿宋"/>
          <w:sz w:val="24"/>
          <w:szCs w:val="24"/>
          <w:lang w:val="zh-TW"/>
        </w:rPr>
      </w:pPr>
      <w:r>
        <w:rPr>
          <w:rFonts w:hint="eastAsia" w:hAnsi="仿宋"/>
          <w:sz w:val="24"/>
          <w:szCs w:val="24"/>
        </w:rPr>
        <w:t>本次询价为一次性集中改造服务，涵盖四大核心改造任务，需严格按照既定成效目标落地，供应商须全面响应本技术与服务要求，所有条款均为实质性要求。</w:t>
      </w:r>
      <w:r>
        <w:rPr>
          <w:rFonts w:hint="eastAsia" w:hAnsi="仿宋"/>
          <w:sz w:val="24"/>
          <w:szCs w:val="24"/>
          <w:lang w:val="zh-TW"/>
        </w:rPr>
        <w:t>具体要求如下：</w:t>
      </w:r>
    </w:p>
    <w:p w14:paraId="2933E9DC">
      <w:pPr>
        <w:pStyle w:val="5"/>
        <w:numPr>
          <w:ilvl w:val="0"/>
          <w:numId w:val="1"/>
        </w:numPr>
        <w:spacing w:line="360" w:lineRule="auto"/>
        <w:rPr>
          <w:rFonts w:hint="eastAsia" w:hAnsi="仿宋"/>
          <w:sz w:val="24"/>
          <w:szCs w:val="24"/>
          <w:lang w:val="zh-TW"/>
        </w:rPr>
      </w:pPr>
      <w:r>
        <w:rPr>
          <w:rFonts w:hint="eastAsia" w:hAnsi="仿宋"/>
          <w:sz w:val="24"/>
          <w:szCs w:val="24"/>
          <w:lang w:val="zh-TW"/>
        </w:rPr>
        <w:t>原平台替换改造。用户体验集中优化改造将依据平台问题汇总清单，重点完成核心功能缺陷修复与流程、界面优化，集中解决预警信息推送延迟、数据报表异常等突出问题，保障功能稳定运行；同时全面排查系统安全隐患，优化系统架构设计，进一步提升平台的易用性与运行稳定性。</w:t>
      </w:r>
    </w:p>
    <w:p w14:paraId="663438E6">
      <w:pPr>
        <w:pStyle w:val="5"/>
        <w:spacing w:line="360" w:lineRule="auto"/>
        <w:rPr>
          <w:rFonts w:hint="eastAsia" w:hAnsi="仿宋"/>
          <w:sz w:val="24"/>
          <w:szCs w:val="24"/>
          <w:lang w:val="zh-TW"/>
        </w:rPr>
      </w:pPr>
      <w:r>
        <w:rPr>
          <w:rFonts w:hint="eastAsia" w:hAnsi="仿宋"/>
          <w:sz w:val="24"/>
          <w:szCs w:val="24"/>
          <w:lang w:val="zh-TW"/>
        </w:rPr>
        <w:t>核心功能缺陷修复清单如下：</w:t>
      </w:r>
    </w:p>
    <w:tbl>
      <w:tblPr>
        <w:tblStyle w:val="10"/>
        <w:tblpPr w:leftFromText="180" w:rightFromText="180" w:vertAnchor="text" w:horzAnchor="page" w:tblpX="1525" w:tblpY="33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1238"/>
        <w:gridCol w:w="5370"/>
        <w:gridCol w:w="563"/>
        <w:gridCol w:w="563"/>
      </w:tblGrid>
      <w:tr w14:paraId="0873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FD1C989">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序号</w:t>
            </w:r>
          </w:p>
        </w:tc>
        <w:tc>
          <w:tcPr>
            <w:tcW w:w="0" w:type="auto"/>
            <w:vAlign w:val="center"/>
          </w:tcPr>
          <w:p w14:paraId="7BA43F3E">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功能模块</w:t>
            </w:r>
          </w:p>
        </w:tc>
        <w:tc>
          <w:tcPr>
            <w:tcW w:w="0" w:type="auto"/>
            <w:vAlign w:val="center"/>
          </w:tcPr>
          <w:p w14:paraId="75C72D8C">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服务子项</w:t>
            </w:r>
          </w:p>
        </w:tc>
        <w:tc>
          <w:tcPr>
            <w:tcW w:w="0" w:type="auto"/>
            <w:vAlign w:val="center"/>
          </w:tcPr>
          <w:p w14:paraId="0833991D">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单位</w:t>
            </w:r>
          </w:p>
        </w:tc>
        <w:tc>
          <w:tcPr>
            <w:tcW w:w="0" w:type="auto"/>
            <w:vAlign w:val="center"/>
          </w:tcPr>
          <w:p w14:paraId="5DCE5089">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数量</w:t>
            </w:r>
          </w:p>
        </w:tc>
      </w:tr>
      <w:tr w14:paraId="6A09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99E6359">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1</w:t>
            </w:r>
          </w:p>
        </w:tc>
        <w:tc>
          <w:tcPr>
            <w:tcW w:w="0" w:type="auto"/>
            <w:vMerge w:val="restart"/>
            <w:vAlign w:val="center"/>
          </w:tcPr>
          <w:p w14:paraId="54B5616A">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原平台替换改造</w:t>
            </w:r>
          </w:p>
        </w:tc>
        <w:tc>
          <w:tcPr>
            <w:tcW w:w="0" w:type="auto"/>
            <w:vAlign w:val="center"/>
          </w:tcPr>
          <w:p w14:paraId="53CE316B">
            <w:pPr>
              <w:spacing w:line="360" w:lineRule="auto"/>
              <w:rPr>
                <w:rFonts w:hint="eastAsia" w:ascii="宋体" w:hAnsi="宋体" w:eastAsia="宋体" w:cs="宋体"/>
                <w:color w:val="000000"/>
                <w:szCs w:val="21"/>
              </w:rPr>
            </w:pPr>
            <w:r>
              <w:rPr>
                <w:rFonts w:hint="eastAsia" w:ascii="宋体" w:hAnsi="宋体" w:eastAsia="宋体" w:cs="宋体"/>
                <w:color w:val="000000"/>
                <w:szCs w:val="21"/>
              </w:rPr>
              <w:t>核心功能缺陷修复（预警信息推送延迟、数据报表异常等核心问题排查修复）</w:t>
            </w:r>
          </w:p>
        </w:tc>
        <w:tc>
          <w:tcPr>
            <w:tcW w:w="0" w:type="auto"/>
            <w:vAlign w:val="center"/>
          </w:tcPr>
          <w:p w14:paraId="1A853F62">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项</w:t>
            </w:r>
          </w:p>
        </w:tc>
        <w:tc>
          <w:tcPr>
            <w:tcW w:w="0" w:type="auto"/>
            <w:vAlign w:val="center"/>
          </w:tcPr>
          <w:p w14:paraId="77750706">
            <w:pPr>
              <w:spacing w:line="360" w:lineRule="auto"/>
              <w:rPr>
                <w:rFonts w:hint="eastAsia" w:ascii="宋体" w:hAnsi="宋体" w:eastAsia="宋体" w:cs="宋体"/>
                <w:szCs w:val="21"/>
              </w:rPr>
            </w:pPr>
            <w:r>
              <w:rPr>
                <w:rFonts w:hint="eastAsia" w:ascii="宋体" w:hAnsi="宋体" w:eastAsia="宋体" w:cs="宋体"/>
                <w:color w:val="000000"/>
                <w:szCs w:val="21"/>
              </w:rPr>
              <w:t>1</w:t>
            </w:r>
          </w:p>
        </w:tc>
      </w:tr>
      <w:tr w14:paraId="6062F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0F772B7">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2</w:t>
            </w:r>
          </w:p>
        </w:tc>
        <w:tc>
          <w:tcPr>
            <w:tcW w:w="0" w:type="auto"/>
            <w:vMerge w:val="continue"/>
            <w:vAlign w:val="center"/>
          </w:tcPr>
          <w:p w14:paraId="2840963F">
            <w:pPr>
              <w:spacing w:line="360" w:lineRule="auto"/>
              <w:rPr>
                <w:rFonts w:hint="eastAsia" w:ascii="宋体" w:hAnsi="宋体" w:eastAsia="宋体" w:cs="宋体"/>
                <w:color w:val="000000"/>
                <w:szCs w:val="21"/>
              </w:rPr>
            </w:pPr>
          </w:p>
        </w:tc>
        <w:tc>
          <w:tcPr>
            <w:tcW w:w="0" w:type="auto"/>
            <w:vAlign w:val="center"/>
          </w:tcPr>
          <w:p w14:paraId="27B1AB6E">
            <w:pPr>
              <w:spacing w:line="360" w:lineRule="auto"/>
              <w:rPr>
                <w:rFonts w:hint="eastAsia" w:ascii="宋体" w:hAnsi="宋体" w:eastAsia="宋体" w:cs="宋体"/>
                <w:color w:val="000000"/>
                <w:szCs w:val="21"/>
              </w:rPr>
            </w:pPr>
            <w:r>
              <w:rPr>
                <w:rFonts w:hint="eastAsia" w:ascii="宋体" w:hAnsi="宋体" w:eastAsia="宋体" w:cs="宋体"/>
                <w:color w:val="000000"/>
                <w:szCs w:val="21"/>
              </w:rPr>
              <w:t>流程与界面优化（业务流程简化、界面适配优化、重复填报字段自动填充功能实现）</w:t>
            </w:r>
          </w:p>
        </w:tc>
        <w:tc>
          <w:tcPr>
            <w:tcW w:w="0" w:type="auto"/>
            <w:vAlign w:val="center"/>
          </w:tcPr>
          <w:p w14:paraId="6174D596">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项</w:t>
            </w:r>
          </w:p>
        </w:tc>
        <w:tc>
          <w:tcPr>
            <w:tcW w:w="0" w:type="auto"/>
            <w:vAlign w:val="center"/>
          </w:tcPr>
          <w:p w14:paraId="3D4CB686">
            <w:pPr>
              <w:spacing w:line="360" w:lineRule="auto"/>
              <w:rPr>
                <w:rFonts w:hint="eastAsia" w:ascii="宋体" w:hAnsi="宋体" w:eastAsia="宋体" w:cs="宋体"/>
                <w:szCs w:val="21"/>
              </w:rPr>
            </w:pPr>
            <w:r>
              <w:rPr>
                <w:rFonts w:hint="eastAsia" w:ascii="宋体" w:hAnsi="宋体" w:eastAsia="宋体" w:cs="宋体"/>
                <w:color w:val="000000"/>
                <w:szCs w:val="21"/>
              </w:rPr>
              <w:t>1</w:t>
            </w:r>
          </w:p>
        </w:tc>
      </w:tr>
      <w:tr w14:paraId="73BF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F731FDB">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3</w:t>
            </w:r>
          </w:p>
        </w:tc>
        <w:tc>
          <w:tcPr>
            <w:tcW w:w="0" w:type="auto"/>
            <w:vMerge w:val="continue"/>
            <w:vAlign w:val="center"/>
          </w:tcPr>
          <w:p w14:paraId="56348F5A">
            <w:pPr>
              <w:spacing w:line="360" w:lineRule="auto"/>
              <w:rPr>
                <w:rFonts w:hint="eastAsia" w:ascii="宋体" w:hAnsi="宋体" w:eastAsia="宋体" w:cs="宋体"/>
                <w:color w:val="000000"/>
                <w:szCs w:val="21"/>
              </w:rPr>
            </w:pPr>
          </w:p>
        </w:tc>
        <w:tc>
          <w:tcPr>
            <w:tcW w:w="0" w:type="auto"/>
            <w:vAlign w:val="center"/>
          </w:tcPr>
          <w:p w14:paraId="1495366B">
            <w:pPr>
              <w:spacing w:line="360" w:lineRule="auto"/>
              <w:rPr>
                <w:rFonts w:hint="eastAsia" w:ascii="宋体" w:hAnsi="宋体" w:eastAsia="宋体" w:cs="宋体"/>
                <w:color w:val="000000"/>
                <w:szCs w:val="21"/>
              </w:rPr>
            </w:pPr>
            <w:r>
              <w:rPr>
                <w:rFonts w:hint="eastAsia" w:ascii="宋体" w:hAnsi="宋体" w:eastAsia="宋体" w:cs="宋体"/>
                <w:color w:val="000000"/>
                <w:szCs w:val="21"/>
              </w:rPr>
              <w:t>系统隐患排查与架构优化（全域系统隐患排查、系统架构优化）</w:t>
            </w:r>
          </w:p>
        </w:tc>
        <w:tc>
          <w:tcPr>
            <w:tcW w:w="0" w:type="auto"/>
            <w:vAlign w:val="center"/>
          </w:tcPr>
          <w:p w14:paraId="5BED470F">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项</w:t>
            </w:r>
          </w:p>
        </w:tc>
        <w:tc>
          <w:tcPr>
            <w:tcW w:w="0" w:type="auto"/>
            <w:vAlign w:val="center"/>
          </w:tcPr>
          <w:p w14:paraId="0CCC1641">
            <w:pPr>
              <w:spacing w:line="360" w:lineRule="auto"/>
              <w:rPr>
                <w:rFonts w:hint="eastAsia" w:ascii="宋体" w:hAnsi="宋体" w:eastAsia="宋体" w:cs="宋体"/>
                <w:szCs w:val="21"/>
              </w:rPr>
            </w:pPr>
            <w:r>
              <w:rPr>
                <w:rFonts w:hint="eastAsia" w:ascii="宋体" w:hAnsi="宋体" w:eastAsia="宋体" w:cs="宋体"/>
                <w:color w:val="000000"/>
                <w:szCs w:val="21"/>
              </w:rPr>
              <w:t>1</w:t>
            </w:r>
          </w:p>
        </w:tc>
      </w:tr>
    </w:tbl>
    <w:p w14:paraId="2F6B0A20">
      <w:pPr>
        <w:pStyle w:val="5"/>
        <w:spacing w:line="360" w:lineRule="auto"/>
        <w:ind w:firstLine="0"/>
        <w:rPr>
          <w:rFonts w:hint="eastAsia" w:ascii="仿宋_GB2312" w:hAnsi="仿宋_GB2312" w:eastAsia="仿宋_GB2312" w:cs="仿宋_GB2312"/>
          <w:b/>
          <w:bCs/>
          <w:sz w:val="32"/>
          <w:szCs w:val="32"/>
        </w:rPr>
      </w:pPr>
    </w:p>
    <w:p w14:paraId="7E82BF5E">
      <w:pPr>
        <w:pStyle w:val="5"/>
        <w:numPr>
          <w:ilvl w:val="0"/>
          <w:numId w:val="1"/>
        </w:numPr>
        <w:spacing w:line="360" w:lineRule="auto"/>
        <w:rPr>
          <w:rFonts w:hint="eastAsia" w:hAnsi="仿宋"/>
          <w:sz w:val="24"/>
          <w:szCs w:val="24"/>
          <w:lang w:val="zh-TW"/>
        </w:rPr>
      </w:pPr>
      <w:r>
        <w:rPr>
          <w:rFonts w:hint="eastAsia" w:hAnsi="仿宋"/>
          <w:sz w:val="24"/>
          <w:szCs w:val="24"/>
          <w:lang w:val="zh-TW"/>
        </w:rPr>
        <w:t>数据安全闭环改造。数据安全闭环改造重点推进两项核心工作：一是替换互联网第三方模型接口，完成基础大模型本地化部署，重构预警功能技术架构并建立本地模型自主微调与运维管理机制，实现监督模型自主可控；二是升级身份认证、权限管理等核心安全功能，构建全方位安全防护体系，切实保障平台运行安全。</w:t>
      </w:r>
    </w:p>
    <w:tbl>
      <w:tblPr>
        <w:tblStyle w:val="10"/>
        <w:tblpPr w:leftFromText="180" w:rightFromText="180" w:vertAnchor="text" w:horzAnchor="page" w:tblpX="1729" w:tblpY="97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6"/>
        <w:gridCol w:w="1259"/>
        <w:gridCol w:w="5397"/>
        <w:gridCol w:w="547"/>
        <w:gridCol w:w="547"/>
      </w:tblGrid>
      <w:tr w14:paraId="04D59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vAlign w:val="center"/>
          </w:tcPr>
          <w:p w14:paraId="7085DFF0">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序号</w:t>
            </w:r>
          </w:p>
        </w:tc>
        <w:tc>
          <w:tcPr>
            <w:tcW w:w="0" w:type="auto"/>
            <w:vAlign w:val="center"/>
          </w:tcPr>
          <w:p w14:paraId="178277B6">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功能模块</w:t>
            </w:r>
          </w:p>
        </w:tc>
        <w:tc>
          <w:tcPr>
            <w:tcW w:w="0" w:type="auto"/>
            <w:vAlign w:val="center"/>
          </w:tcPr>
          <w:p w14:paraId="5F6981AF">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服务子项</w:t>
            </w:r>
          </w:p>
        </w:tc>
        <w:tc>
          <w:tcPr>
            <w:tcW w:w="0" w:type="auto"/>
            <w:vAlign w:val="center"/>
          </w:tcPr>
          <w:p w14:paraId="21BE5CD4">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单位</w:t>
            </w:r>
          </w:p>
        </w:tc>
        <w:tc>
          <w:tcPr>
            <w:tcW w:w="0" w:type="auto"/>
            <w:vAlign w:val="center"/>
          </w:tcPr>
          <w:p w14:paraId="347050FA">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数量</w:t>
            </w:r>
          </w:p>
        </w:tc>
      </w:tr>
      <w:tr w14:paraId="58E6A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8ADF62E">
            <w:pPr>
              <w:spacing w:line="360" w:lineRule="auto"/>
              <w:jc w:val="center"/>
              <w:rPr>
                <w:rFonts w:hint="eastAsia" w:ascii="宋体" w:hAnsi="宋体" w:eastAsia="宋体" w:cs="宋体"/>
                <w:szCs w:val="21"/>
              </w:rPr>
            </w:pPr>
            <w:r>
              <w:rPr>
                <w:rFonts w:hint="eastAsia" w:ascii="宋体" w:hAnsi="宋体" w:eastAsia="宋体" w:cs="宋体"/>
                <w:color w:val="000000"/>
                <w:szCs w:val="21"/>
              </w:rPr>
              <w:t>1</w:t>
            </w:r>
          </w:p>
        </w:tc>
        <w:tc>
          <w:tcPr>
            <w:tcW w:w="0" w:type="auto"/>
            <w:vMerge w:val="restart"/>
            <w:vAlign w:val="center"/>
          </w:tcPr>
          <w:p w14:paraId="5A81D7E9">
            <w:pPr>
              <w:spacing w:line="360" w:lineRule="auto"/>
              <w:rPr>
                <w:rFonts w:hint="eastAsia" w:ascii="宋体" w:hAnsi="宋体" w:eastAsia="宋体" w:cs="宋体"/>
                <w:szCs w:val="21"/>
              </w:rPr>
            </w:pPr>
            <w:r>
              <w:rPr>
                <w:rFonts w:hint="eastAsia" w:ascii="宋体" w:hAnsi="宋体" w:eastAsia="宋体" w:cs="宋体"/>
                <w:color w:val="000000"/>
                <w:szCs w:val="21"/>
              </w:rPr>
              <w:t>数据安全闭环改造</w:t>
            </w:r>
          </w:p>
        </w:tc>
        <w:tc>
          <w:tcPr>
            <w:tcW w:w="0" w:type="auto"/>
            <w:vAlign w:val="center"/>
          </w:tcPr>
          <w:p w14:paraId="49AA6C01">
            <w:pPr>
              <w:spacing w:line="360" w:lineRule="auto"/>
              <w:rPr>
                <w:rFonts w:hint="eastAsia" w:ascii="宋体" w:hAnsi="宋体" w:eastAsia="宋体" w:cs="宋体"/>
                <w:szCs w:val="21"/>
              </w:rPr>
            </w:pPr>
            <w:r>
              <w:rPr>
                <w:rFonts w:hint="eastAsia" w:ascii="宋体" w:hAnsi="宋体" w:eastAsia="宋体" w:cs="宋体"/>
                <w:color w:val="000000"/>
                <w:szCs w:val="21"/>
              </w:rPr>
              <w:t>本地化大模型部署改造（替换第三方接口、本地化部署、架构重构、自主微调与运维机制建立）</w:t>
            </w:r>
          </w:p>
        </w:tc>
        <w:tc>
          <w:tcPr>
            <w:tcW w:w="0" w:type="auto"/>
            <w:vAlign w:val="center"/>
          </w:tcPr>
          <w:p w14:paraId="07735774">
            <w:pPr>
              <w:spacing w:line="360" w:lineRule="auto"/>
              <w:jc w:val="center"/>
              <w:rPr>
                <w:rFonts w:hint="eastAsia" w:ascii="宋体" w:hAnsi="宋体" w:eastAsia="宋体" w:cs="宋体"/>
                <w:szCs w:val="21"/>
              </w:rPr>
            </w:pPr>
            <w:r>
              <w:rPr>
                <w:rFonts w:hint="eastAsia" w:ascii="宋体" w:hAnsi="宋体" w:eastAsia="宋体" w:cs="宋体"/>
                <w:color w:val="000000"/>
                <w:szCs w:val="21"/>
              </w:rPr>
              <w:t>项</w:t>
            </w:r>
          </w:p>
        </w:tc>
        <w:tc>
          <w:tcPr>
            <w:tcW w:w="0" w:type="auto"/>
            <w:vAlign w:val="center"/>
          </w:tcPr>
          <w:p w14:paraId="7DA34847">
            <w:pPr>
              <w:spacing w:line="360" w:lineRule="auto"/>
              <w:rPr>
                <w:rFonts w:hint="eastAsia" w:ascii="宋体" w:hAnsi="宋体" w:eastAsia="宋体" w:cs="宋体"/>
                <w:szCs w:val="21"/>
              </w:rPr>
            </w:pPr>
            <w:r>
              <w:rPr>
                <w:rFonts w:hint="eastAsia" w:ascii="宋体" w:hAnsi="宋体" w:eastAsia="宋体" w:cs="宋体"/>
                <w:color w:val="000000"/>
                <w:szCs w:val="21"/>
              </w:rPr>
              <w:t>1</w:t>
            </w:r>
          </w:p>
        </w:tc>
      </w:tr>
      <w:tr w14:paraId="6484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BD59A0F">
            <w:pPr>
              <w:spacing w:line="360" w:lineRule="auto"/>
              <w:jc w:val="center"/>
              <w:rPr>
                <w:rFonts w:hint="eastAsia" w:ascii="宋体" w:hAnsi="宋体" w:eastAsia="宋体" w:cs="宋体"/>
                <w:szCs w:val="21"/>
              </w:rPr>
            </w:pPr>
            <w:r>
              <w:rPr>
                <w:rFonts w:hint="eastAsia" w:ascii="宋体" w:hAnsi="宋体" w:eastAsia="宋体" w:cs="宋体"/>
                <w:color w:val="000000"/>
                <w:szCs w:val="21"/>
              </w:rPr>
              <w:t>2</w:t>
            </w:r>
          </w:p>
        </w:tc>
        <w:tc>
          <w:tcPr>
            <w:tcW w:w="0" w:type="auto"/>
            <w:vMerge w:val="continue"/>
            <w:vAlign w:val="center"/>
          </w:tcPr>
          <w:p w14:paraId="33794D23">
            <w:pPr>
              <w:spacing w:line="360" w:lineRule="auto"/>
              <w:rPr>
                <w:rFonts w:hint="eastAsia" w:ascii="宋体" w:hAnsi="宋体" w:eastAsia="宋体" w:cs="宋体"/>
                <w:szCs w:val="21"/>
              </w:rPr>
            </w:pPr>
          </w:p>
        </w:tc>
        <w:tc>
          <w:tcPr>
            <w:tcW w:w="0" w:type="auto"/>
            <w:vAlign w:val="center"/>
          </w:tcPr>
          <w:p w14:paraId="3887DE77">
            <w:pPr>
              <w:spacing w:line="360" w:lineRule="auto"/>
              <w:rPr>
                <w:rFonts w:hint="eastAsia" w:ascii="宋体" w:hAnsi="宋体" w:eastAsia="宋体" w:cs="宋体"/>
                <w:szCs w:val="21"/>
              </w:rPr>
            </w:pPr>
            <w:r>
              <w:rPr>
                <w:rFonts w:hint="eastAsia" w:ascii="宋体" w:hAnsi="宋体" w:eastAsia="宋体" w:cs="宋体"/>
                <w:color w:val="000000"/>
                <w:szCs w:val="21"/>
              </w:rPr>
              <w:t>安全功能优化（身份认证升级、权限管理升级、安全防护体系构建）</w:t>
            </w:r>
          </w:p>
        </w:tc>
        <w:tc>
          <w:tcPr>
            <w:tcW w:w="0" w:type="auto"/>
            <w:vAlign w:val="center"/>
          </w:tcPr>
          <w:p w14:paraId="0597C8FA">
            <w:pPr>
              <w:spacing w:line="360" w:lineRule="auto"/>
              <w:jc w:val="center"/>
              <w:rPr>
                <w:rFonts w:hint="eastAsia" w:ascii="宋体" w:hAnsi="宋体" w:eastAsia="宋体" w:cs="宋体"/>
                <w:szCs w:val="21"/>
              </w:rPr>
            </w:pPr>
            <w:r>
              <w:rPr>
                <w:rFonts w:hint="eastAsia" w:ascii="宋体" w:hAnsi="宋体" w:eastAsia="宋体" w:cs="宋体"/>
                <w:color w:val="000000"/>
                <w:szCs w:val="21"/>
              </w:rPr>
              <w:t>项</w:t>
            </w:r>
          </w:p>
        </w:tc>
        <w:tc>
          <w:tcPr>
            <w:tcW w:w="0" w:type="auto"/>
            <w:vAlign w:val="center"/>
          </w:tcPr>
          <w:p w14:paraId="39F0D493">
            <w:pPr>
              <w:spacing w:line="360" w:lineRule="auto"/>
              <w:rPr>
                <w:rFonts w:hint="eastAsia" w:ascii="宋体" w:hAnsi="宋体" w:eastAsia="宋体" w:cs="宋体"/>
                <w:szCs w:val="21"/>
              </w:rPr>
            </w:pPr>
            <w:r>
              <w:rPr>
                <w:rFonts w:hint="eastAsia" w:ascii="宋体" w:hAnsi="宋体" w:eastAsia="宋体" w:cs="宋体"/>
                <w:color w:val="000000"/>
                <w:szCs w:val="21"/>
              </w:rPr>
              <w:t>1</w:t>
            </w:r>
          </w:p>
        </w:tc>
      </w:tr>
    </w:tbl>
    <w:p w14:paraId="35D13C80">
      <w:pPr>
        <w:pStyle w:val="5"/>
        <w:spacing w:line="360" w:lineRule="auto"/>
        <w:ind w:left="420" w:firstLine="0"/>
        <w:rPr>
          <w:rFonts w:hint="eastAsia" w:asciiTheme="minorEastAsia" w:hAnsiTheme="minorEastAsia" w:cstheme="minorEastAsia"/>
          <w:sz w:val="28"/>
          <w:szCs w:val="28"/>
        </w:rPr>
      </w:pPr>
    </w:p>
    <w:p w14:paraId="7B4AFAF4">
      <w:pPr>
        <w:pStyle w:val="5"/>
        <w:numPr>
          <w:ilvl w:val="0"/>
          <w:numId w:val="1"/>
        </w:numPr>
        <w:spacing w:line="360" w:lineRule="auto"/>
        <w:rPr>
          <w:rFonts w:hint="eastAsia" w:hAnsi="仿宋"/>
          <w:sz w:val="24"/>
          <w:szCs w:val="24"/>
          <w:lang w:val="zh-TW"/>
        </w:rPr>
      </w:pPr>
      <w:r>
        <w:rPr>
          <w:rFonts w:hint="eastAsia" w:hAnsi="仿宋"/>
          <w:sz w:val="24"/>
          <w:szCs w:val="24"/>
          <w:lang w:val="zh-TW"/>
        </w:rPr>
        <w:t>数据治理集中提升改造。主要包含三方面工作：一是精准优化预警关键词库，筛选提炼高风险词汇，建立广告、通知类冗余关键词剔除规则，完善“家常里短”模块预警策略；二是搭建“日常巡检+定期校准+应急响应”常态化数据治理机制，明确周度数据完整性核查、月度算法标注准确性核验及冗余数据清理流程；三是完成“明小督”群管理账号全域变更及数据迁移维护，实现账号统一规范管理，保障数据同步安全。</w:t>
      </w:r>
    </w:p>
    <w:tbl>
      <w:tblPr>
        <w:tblStyle w:val="10"/>
        <w:tblpPr w:leftFromText="180" w:rightFromText="180" w:vertAnchor="text" w:horzAnchor="page" w:tblpX="1705" w:tblpY="107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
        <w:gridCol w:w="1255"/>
        <w:gridCol w:w="5482"/>
        <w:gridCol w:w="520"/>
        <w:gridCol w:w="520"/>
      </w:tblGrid>
      <w:tr w14:paraId="56D7F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0" w:type="auto"/>
            <w:vAlign w:val="center"/>
          </w:tcPr>
          <w:p w14:paraId="1ECD482A">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序号</w:t>
            </w:r>
          </w:p>
        </w:tc>
        <w:tc>
          <w:tcPr>
            <w:tcW w:w="0" w:type="auto"/>
            <w:vAlign w:val="center"/>
          </w:tcPr>
          <w:p w14:paraId="3D191ED5">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功能模块</w:t>
            </w:r>
          </w:p>
        </w:tc>
        <w:tc>
          <w:tcPr>
            <w:tcW w:w="0" w:type="auto"/>
            <w:vAlign w:val="center"/>
          </w:tcPr>
          <w:p w14:paraId="731F3FA5">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服务子项</w:t>
            </w:r>
          </w:p>
        </w:tc>
        <w:tc>
          <w:tcPr>
            <w:tcW w:w="0" w:type="auto"/>
            <w:vAlign w:val="center"/>
          </w:tcPr>
          <w:p w14:paraId="1743B5B5">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单位</w:t>
            </w:r>
          </w:p>
        </w:tc>
        <w:tc>
          <w:tcPr>
            <w:tcW w:w="0" w:type="auto"/>
            <w:vAlign w:val="center"/>
          </w:tcPr>
          <w:p w14:paraId="03944857">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数量</w:t>
            </w:r>
          </w:p>
        </w:tc>
      </w:tr>
      <w:tr w14:paraId="39841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0" w:type="auto"/>
            <w:vAlign w:val="center"/>
          </w:tcPr>
          <w:p w14:paraId="19654476">
            <w:pPr>
              <w:spacing w:line="360" w:lineRule="auto"/>
              <w:jc w:val="center"/>
              <w:rPr>
                <w:rFonts w:hint="eastAsia" w:ascii="宋体" w:hAnsi="宋体" w:eastAsia="宋体" w:cs="宋体"/>
                <w:szCs w:val="21"/>
              </w:rPr>
            </w:pPr>
            <w:r>
              <w:rPr>
                <w:rFonts w:hint="eastAsia" w:ascii="宋体" w:hAnsi="宋体" w:eastAsia="宋体" w:cs="宋体"/>
                <w:color w:val="000000"/>
                <w:szCs w:val="21"/>
              </w:rPr>
              <w:t>1</w:t>
            </w:r>
          </w:p>
        </w:tc>
        <w:tc>
          <w:tcPr>
            <w:tcW w:w="0" w:type="auto"/>
            <w:vMerge w:val="restart"/>
            <w:vAlign w:val="center"/>
          </w:tcPr>
          <w:p w14:paraId="0EE4BA7E">
            <w:pPr>
              <w:spacing w:line="360" w:lineRule="auto"/>
              <w:rPr>
                <w:rFonts w:hint="eastAsia" w:ascii="宋体" w:hAnsi="宋体" w:eastAsia="宋体" w:cs="宋体"/>
                <w:szCs w:val="21"/>
              </w:rPr>
            </w:pPr>
            <w:r>
              <w:rPr>
                <w:rFonts w:hint="eastAsia" w:ascii="宋体" w:hAnsi="宋体" w:eastAsia="宋体" w:cs="宋体"/>
                <w:color w:val="000000"/>
                <w:szCs w:val="21"/>
              </w:rPr>
              <w:t>数据治理集中提升改造</w:t>
            </w:r>
          </w:p>
        </w:tc>
        <w:tc>
          <w:tcPr>
            <w:tcW w:w="0" w:type="auto"/>
            <w:vAlign w:val="center"/>
          </w:tcPr>
          <w:p w14:paraId="45A3B98B">
            <w:pPr>
              <w:spacing w:line="360" w:lineRule="auto"/>
              <w:rPr>
                <w:rFonts w:hint="eastAsia" w:ascii="宋体" w:hAnsi="宋体" w:eastAsia="宋体" w:cs="宋体"/>
                <w:szCs w:val="21"/>
              </w:rPr>
            </w:pPr>
            <w:r>
              <w:rPr>
                <w:rFonts w:hint="eastAsia" w:ascii="宋体" w:hAnsi="宋体" w:eastAsia="宋体" w:cs="宋体"/>
                <w:color w:val="000000"/>
                <w:szCs w:val="21"/>
              </w:rPr>
              <w:t>关键词库精准优化（预警关键词靶向优化、高风险词汇筛选提炼、冗余关键词剔除规则建立、“家常里短” 模块策略完善）</w:t>
            </w:r>
          </w:p>
        </w:tc>
        <w:tc>
          <w:tcPr>
            <w:tcW w:w="0" w:type="auto"/>
            <w:vAlign w:val="center"/>
          </w:tcPr>
          <w:p w14:paraId="15057E4F">
            <w:pPr>
              <w:spacing w:line="360" w:lineRule="auto"/>
              <w:jc w:val="center"/>
              <w:rPr>
                <w:rFonts w:hint="eastAsia" w:ascii="宋体" w:hAnsi="宋体" w:eastAsia="宋体" w:cs="宋体"/>
                <w:szCs w:val="21"/>
              </w:rPr>
            </w:pPr>
            <w:r>
              <w:rPr>
                <w:rFonts w:hint="eastAsia" w:ascii="宋体" w:hAnsi="宋体" w:eastAsia="宋体" w:cs="宋体"/>
                <w:color w:val="000000"/>
                <w:szCs w:val="21"/>
              </w:rPr>
              <w:t>项</w:t>
            </w:r>
          </w:p>
        </w:tc>
        <w:tc>
          <w:tcPr>
            <w:tcW w:w="0" w:type="auto"/>
            <w:vAlign w:val="center"/>
          </w:tcPr>
          <w:p w14:paraId="1A93A140">
            <w:pPr>
              <w:spacing w:line="360" w:lineRule="auto"/>
              <w:rPr>
                <w:rFonts w:hint="eastAsia" w:ascii="宋体" w:hAnsi="宋体" w:eastAsia="宋体" w:cs="宋体"/>
                <w:szCs w:val="21"/>
              </w:rPr>
            </w:pPr>
            <w:r>
              <w:rPr>
                <w:rFonts w:hint="eastAsia" w:ascii="宋体" w:hAnsi="宋体" w:eastAsia="宋体" w:cs="宋体"/>
                <w:color w:val="000000"/>
                <w:szCs w:val="21"/>
              </w:rPr>
              <w:t>1</w:t>
            </w:r>
          </w:p>
        </w:tc>
      </w:tr>
      <w:tr w14:paraId="71E6D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8EE2584">
            <w:pPr>
              <w:spacing w:line="360" w:lineRule="auto"/>
              <w:jc w:val="center"/>
              <w:rPr>
                <w:rFonts w:hint="eastAsia" w:ascii="宋体" w:hAnsi="宋体" w:eastAsia="宋体" w:cs="宋体"/>
                <w:szCs w:val="21"/>
              </w:rPr>
            </w:pPr>
            <w:r>
              <w:rPr>
                <w:rFonts w:hint="eastAsia" w:ascii="宋体" w:hAnsi="宋体" w:eastAsia="宋体" w:cs="宋体"/>
                <w:color w:val="000000"/>
                <w:szCs w:val="21"/>
              </w:rPr>
              <w:t>2</w:t>
            </w:r>
          </w:p>
        </w:tc>
        <w:tc>
          <w:tcPr>
            <w:tcW w:w="0" w:type="auto"/>
            <w:vMerge w:val="continue"/>
            <w:vAlign w:val="center"/>
          </w:tcPr>
          <w:p w14:paraId="68E3D358">
            <w:pPr>
              <w:spacing w:line="360" w:lineRule="auto"/>
              <w:rPr>
                <w:rFonts w:hint="eastAsia" w:ascii="宋体" w:hAnsi="宋体" w:eastAsia="宋体" w:cs="宋体"/>
                <w:szCs w:val="21"/>
              </w:rPr>
            </w:pPr>
          </w:p>
        </w:tc>
        <w:tc>
          <w:tcPr>
            <w:tcW w:w="0" w:type="auto"/>
            <w:vAlign w:val="center"/>
          </w:tcPr>
          <w:p w14:paraId="265D1F98">
            <w:pPr>
              <w:spacing w:line="360" w:lineRule="auto"/>
              <w:rPr>
                <w:rFonts w:hint="eastAsia" w:ascii="宋体" w:hAnsi="宋体" w:eastAsia="宋体" w:cs="宋体"/>
                <w:szCs w:val="21"/>
              </w:rPr>
            </w:pPr>
            <w:r>
              <w:rPr>
                <w:rFonts w:hint="eastAsia" w:ascii="宋体" w:hAnsi="宋体" w:eastAsia="宋体" w:cs="宋体"/>
                <w:color w:val="000000"/>
                <w:szCs w:val="21"/>
              </w:rPr>
              <w:t>常态化治理机制搭建（“日常巡检 + 定期校准 + 应急响应” 机制建立、周 / 月度数据治理流程明确）</w:t>
            </w:r>
          </w:p>
        </w:tc>
        <w:tc>
          <w:tcPr>
            <w:tcW w:w="0" w:type="auto"/>
            <w:vAlign w:val="center"/>
          </w:tcPr>
          <w:p w14:paraId="4B2A528F">
            <w:pPr>
              <w:spacing w:line="360" w:lineRule="auto"/>
              <w:jc w:val="center"/>
              <w:rPr>
                <w:rFonts w:hint="eastAsia" w:ascii="宋体" w:hAnsi="宋体" w:eastAsia="宋体" w:cs="宋体"/>
                <w:szCs w:val="21"/>
              </w:rPr>
            </w:pPr>
            <w:r>
              <w:rPr>
                <w:rFonts w:hint="eastAsia" w:ascii="宋体" w:hAnsi="宋体" w:eastAsia="宋体" w:cs="宋体"/>
                <w:color w:val="000000"/>
                <w:szCs w:val="21"/>
              </w:rPr>
              <w:t>项</w:t>
            </w:r>
          </w:p>
        </w:tc>
        <w:tc>
          <w:tcPr>
            <w:tcW w:w="0" w:type="auto"/>
            <w:vAlign w:val="center"/>
          </w:tcPr>
          <w:p w14:paraId="53D5FCCB">
            <w:pPr>
              <w:spacing w:line="360" w:lineRule="auto"/>
              <w:rPr>
                <w:rFonts w:hint="eastAsia" w:ascii="宋体" w:hAnsi="宋体" w:eastAsia="宋体" w:cs="宋体"/>
                <w:szCs w:val="21"/>
              </w:rPr>
            </w:pPr>
            <w:r>
              <w:rPr>
                <w:rFonts w:hint="eastAsia" w:ascii="宋体" w:hAnsi="宋体" w:eastAsia="宋体" w:cs="宋体"/>
                <w:color w:val="000000"/>
                <w:szCs w:val="21"/>
              </w:rPr>
              <w:t>1</w:t>
            </w:r>
          </w:p>
        </w:tc>
      </w:tr>
      <w:tr w14:paraId="7C9AA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ECF32AE">
            <w:pPr>
              <w:spacing w:line="360" w:lineRule="auto"/>
              <w:jc w:val="center"/>
              <w:rPr>
                <w:rFonts w:hint="eastAsia" w:ascii="宋体" w:hAnsi="宋体" w:eastAsia="宋体" w:cs="宋体"/>
                <w:szCs w:val="21"/>
              </w:rPr>
            </w:pPr>
            <w:r>
              <w:rPr>
                <w:rFonts w:hint="eastAsia" w:ascii="宋体" w:hAnsi="宋体" w:eastAsia="宋体" w:cs="宋体"/>
                <w:color w:val="000000"/>
                <w:szCs w:val="21"/>
              </w:rPr>
              <w:t>3</w:t>
            </w:r>
          </w:p>
        </w:tc>
        <w:tc>
          <w:tcPr>
            <w:tcW w:w="0" w:type="auto"/>
            <w:vMerge w:val="continue"/>
            <w:vAlign w:val="center"/>
          </w:tcPr>
          <w:p w14:paraId="4BC5DB00">
            <w:pPr>
              <w:spacing w:line="360" w:lineRule="auto"/>
              <w:rPr>
                <w:rFonts w:hint="eastAsia" w:ascii="宋体" w:hAnsi="宋体" w:eastAsia="宋体" w:cs="宋体"/>
                <w:szCs w:val="21"/>
              </w:rPr>
            </w:pPr>
          </w:p>
        </w:tc>
        <w:tc>
          <w:tcPr>
            <w:tcW w:w="0" w:type="auto"/>
            <w:vAlign w:val="center"/>
          </w:tcPr>
          <w:p w14:paraId="2EC85B0E">
            <w:pPr>
              <w:spacing w:line="360" w:lineRule="auto"/>
              <w:rPr>
                <w:rFonts w:hint="eastAsia" w:ascii="宋体" w:hAnsi="宋体" w:eastAsia="宋体" w:cs="宋体"/>
                <w:szCs w:val="21"/>
              </w:rPr>
            </w:pPr>
            <w:r>
              <w:rPr>
                <w:rFonts w:hint="eastAsia" w:ascii="宋体" w:hAnsi="宋体" w:eastAsia="宋体" w:cs="宋体"/>
                <w:color w:val="000000"/>
                <w:szCs w:val="21"/>
              </w:rPr>
              <w:t>群账号规范改造（“明小督” 群管理账号全域变更、数据迁移维护、账号统一规范管理）</w:t>
            </w:r>
          </w:p>
        </w:tc>
        <w:tc>
          <w:tcPr>
            <w:tcW w:w="0" w:type="auto"/>
            <w:vAlign w:val="center"/>
          </w:tcPr>
          <w:p w14:paraId="33F5D080">
            <w:pPr>
              <w:spacing w:line="360" w:lineRule="auto"/>
              <w:jc w:val="center"/>
              <w:rPr>
                <w:rFonts w:hint="eastAsia" w:ascii="宋体" w:hAnsi="宋体" w:eastAsia="宋体" w:cs="宋体"/>
                <w:szCs w:val="21"/>
              </w:rPr>
            </w:pPr>
            <w:r>
              <w:rPr>
                <w:rFonts w:hint="eastAsia" w:ascii="宋体" w:hAnsi="宋体" w:eastAsia="宋体" w:cs="宋体"/>
                <w:color w:val="000000"/>
                <w:szCs w:val="21"/>
              </w:rPr>
              <w:t>项</w:t>
            </w:r>
          </w:p>
        </w:tc>
        <w:tc>
          <w:tcPr>
            <w:tcW w:w="0" w:type="auto"/>
            <w:vAlign w:val="center"/>
          </w:tcPr>
          <w:p w14:paraId="2E29C7FC">
            <w:pPr>
              <w:spacing w:line="360" w:lineRule="auto"/>
              <w:rPr>
                <w:rFonts w:hint="eastAsia" w:ascii="宋体" w:hAnsi="宋体" w:eastAsia="宋体" w:cs="宋体"/>
                <w:szCs w:val="21"/>
              </w:rPr>
            </w:pPr>
            <w:r>
              <w:rPr>
                <w:rFonts w:hint="eastAsia" w:ascii="宋体" w:hAnsi="宋体" w:eastAsia="宋体" w:cs="宋体"/>
                <w:color w:val="000000"/>
                <w:szCs w:val="21"/>
              </w:rPr>
              <w:t>1</w:t>
            </w:r>
          </w:p>
        </w:tc>
      </w:tr>
    </w:tbl>
    <w:p w14:paraId="7A22BD79">
      <w:pPr>
        <w:pStyle w:val="5"/>
        <w:spacing w:line="360" w:lineRule="auto"/>
        <w:ind w:left="420" w:firstLine="0"/>
        <w:rPr>
          <w:rFonts w:hint="eastAsia" w:asciiTheme="minorEastAsia" w:hAnsiTheme="minorEastAsia" w:cstheme="minorEastAsia"/>
          <w:sz w:val="28"/>
          <w:szCs w:val="28"/>
        </w:rPr>
      </w:pPr>
    </w:p>
    <w:p w14:paraId="132E3B10">
      <w:pPr>
        <w:spacing w:line="500" w:lineRule="exact"/>
        <w:ind w:firstLine="480" w:firstLineChars="200"/>
        <w:rPr>
          <w:rFonts w:hint="eastAsia" w:hAnsi="仿宋"/>
          <w:sz w:val="24"/>
          <w:lang w:val="zh-TW"/>
        </w:rPr>
      </w:pPr>
      <w:r>
        <w:rPr>
          <w:rFonts w:hint="eastAsia" w:hAnsi="仿宋"/>
          <w:sz w:val="24"/>
          <w:lang w:val="zh-TW"/>
        </w:rPr>
        <w:t>（</w:t>
      </w:r>
      <w:r>
        <w:rPr>
          <w:rFonts w:hint="eastAsia" w:hAnsi="仿宋"/>
          <w:sz w:val="24"/>
        </w:rPr>
        <w:t>四</w:t>
      </w:r>
      <w:r>
        <w:rPr>
          <w:rFonts w:hint="eastAsia" w:hAnsi="仿宋"/>
          <w:sz w:val="24"/>
          <w:lang w:val="zh-TW"/>
        </w:rPr>
        <w:t>）AI 精准监督体系搭建改造。重点推进两方面升级：一是通过小批量样本微调强化模型风险识别能力，落地群内每小时聊天记录全量上下文关联分析功能，提升上下文分析覆盖率；二是建立“初筛分类-二次研判-价值分级”AI分析流程，新增关键词阈值分值体系以量化细化风险等级判定标准，推动规则引擎与本地化大模型深度融合，提升预警策略精准度。</w:t>
      </w:r>
    </w:p>
    <w:tbl>
      <w:tblPr>
        <w:tblStyle w:val="10"/>
        <w:tblpPr w:leftFromText="180" w:rightFromText="180" w:vertAnchor="text" w:horzAnchor="page" w:tblpX="1753" w:tblpY="96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4"/>
        <w:gridCol w:w="1336"/>
        <w:gridCol w:w="5418"/>
        <w:gridCol w:w="514"/>
        <w:gridCol w:w="514"/>
      </w:tblGrid>
      <w:tr w14:paraId="340D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32B53C4">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序号</w:t>
            </w:r>
          </w:p>
        </w:tc>
        <w:tc>
          <w:tcPr>
            <w:tcW w:w="0" w:type="auto"/>
            <w:vAlign w:val="center"/>
          </w:tcPr>
          <w:p w14:paraId="3ECF6A5F">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功能模块</w:t>
            </w:r>
          </w:p>
        </w:tc>
        <w:tc>
          <w:tcPr>
            <w:tcW w:w="0" w:type="auto"/>
            <w:vAlign w:val="center"/>
          </w:tcPr>
          <w:p w14:paraId="104DB10E">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服务子项</w:t>
            </w:r>
          </w:p>
        </w:tc>
        <w:tc>
          <w:tcPr>
            <w:tcW w:w="0" w:type="auto"/>
            <w:vAlign w:val="center"/>
          </w:tcPr>
          <w:p w14:paraId="486A8B1A">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单位</w:t>
            </w:r>
          </w:p>
        </w:tc>
        <w:tc>
          <w:tcPr>
            <w:tcW w:w="0" w:type="auto"/>
            <w:vAlign w:val="center"/>
          </w:tcPr>
          <w:p w14:paraId="16CCF0AE">
            <w:pPr>
              <w:spacing w:line="360" w:lineRule="auto"/>
              <w:jc w:val="center"/>
              <w:rPr>
                <w:rFonts w:hint="eastAsia" w:ascii="宋体" w:hAnsi="宋体" w:eastAsia="宋体" w:cs="宋体"/>
                <w:szCs w:val="21"/>
              </w:rPr>
            </w:pPr>
            <w:r>
              <w:rPr>
                <w:rFonts w:hint="eastAsia" w:ascii="宋体" w:hAnsi="宋体" w:eastAsia="宋体" w:cs="宋体"/>
                <w:b/>
                <w:bCs/>
                <w:color w:val="000000"/>
                <w:szCs w:val="21"/>
              </w:rPr>
              <w:t>数量</w:t>
            </w:r>
          </w:p>
        </w:tc>
      </w:tr>
      <w:tr w14:paraId="00C90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EA7ED25">
            <w:pPr>
              <w:spacing w:line="360" w:lineRule="auto"/>
              <w:jc w:val="center"/>
              <w:rPr>
                <w:rFonts w:hint="eastAsia" w:ascii="宋体" w:hAnsi="宋体" w:eastAsia="宋体" w:cs="宋体"/>
                <w:szCs w:val="21"/>
              </w:rPr>
            </w:pPr>
            <w:r>
              <w:rPr>
                <w:rFonts w:hint="eastAsia" w:ascii="宋体" w:hAnsi="宋体" w:eastAsia="宋体" w:cs="宋体"/>
                <w:color w:val="000000"/>
                <w:szCs w:val="21"/>
              </w:rPr>
              <w:t>1</w:t>
            </w:r>
          </w:p>
        </w:tc>
        <w:tc>
          <w:tcPr>
            <w:tcW w:w="0" w:type="auto"/>
            <w:vMerge w:val="restart"/>
            <w:vAlign w:val="center"/>
          </w:tcPr>
          <w:p w14:paraId="689333EF">
            <w:pPr>
              <w:spacing w:line="360" w:lineRule="auto"/>
              <w:rPr>
                <w:rFonts w:hint="eastAsia" w:ascii="宋体" w:hAnsi="宋体" w:eastAsia="宋体" w:cs="宋体"/>
                <w:szCs w:val="21"/>
              </w:rPr>
            </w:pPr>
            <w:r>
              <w:rPr>
                <w:rFonts w:hint="eastAsia" w:ascii="宋体" w:hAnsi="宋体" w:eastAsia="宋体" w:cs="宋体"/>
                <w:color w:val="000000"/>
                <w:szCs w:val="21"/>
              </w:rPr>
              <w:t>AI 精准监督体系搭建改造</w:t>
            </w:r>
          </w:p>
        </w:tc>
        <w:tc>
          <w:tcPr>
            <w:tcW w:w="0" w:type="auto"/>
            <w:vAlign w:val="center"/>
          </w:tcPr>
          <w:p w14:paraId="4B105F60">
            <w:pPr>
              <w:spacing w:line="360" w:lineRule="auto"/>
              <w:rPr>
                <w:rFonts w:hint="eastAsia" w:ascii="宋体" w:hAnsi="宋体" w:eastAsia="宋体" w:cs="宋体"/>
                <w:szCs w:val="21"/>
              </w:rPr>
            </w:pPr>
            <w:r>
              <w:rPr>
                <w:rFonts w:hint="eastAsia" w:ascii="宋体" w:hAnsi="宋体" w:eastAsia="宋体" w:cs="宋体"/>
                <w:color w:val="000000"/>
                <w:szCs w:val="21"/>
              </w:rPr>
              <w:t>AI 模型优化升级（小批量样本微调、群内每小时聊天记录全量上下文关联分析功能落地）</w:t>
            </w:r>
          </w:p>
        </w:tc>
        <w:tc>
          <w:tcPr>
            <w:tcW w:w="0" w:type="auto"/>
            <w:vAlign w:val="center"/>
          </w:tcPr>
          <w:p w14:paraId="7895EEA6">
            <w:pPr>
              <w:spacing w:line="360" w:lineRule="auto"/>
              <w:jc w:val="center"/>
              <w:rPr>
                <w:rFonts w:hint="eastAsia" w:ascii="宋体" w:hAnsi="宋体" w:eastAsia="宋体" w:cs="宋体"/>
                <w:szCs w:val="21"/>
              </w:rPr>
            </w:pPr>
            <w:r>
              <w:rPr>
                <w:rFonts w:hint="eastAsia" w:ascii="宋体" w:hAnsi="宋体" w:eastAsia="宋体" w:cs="宋体"/>
                <w:color w:val="000000"/>
                <w:szCs w:val="21"/>
              </w:rPr>
              <w:t>项</w:t>
            </w:r>
          </w:p>
        </w:tc>
        <w:tc>
          <w:tcPr>
            <w:tcW w:w="0" w:type="auto"/>
            <w:vAlign w:val="center"/>
          </w:tcPr>
          <w:p w14:paraId="75B52D21">
            <w:pPr>
              <w:spacing w:line="360" w:lineRule="auto"/>
              <w:rPr>
                <w:rFonts w:hint="eastAsia" w:ascii="宋体" w:hAnsi="宋体" w:eastAsia="宋体" w:cs="宋体"/>
                <w:szCs w:val="21"/>
              </w:rPr>
            </w:pPr>
            <w:r>
              <w:rPr>
                <w:rFonts w:hint="eastAsia" w:ascii="宋体" w:hAnsi="宋体" w:eastAsia="宋体" w:cs="宋体"/>
                <w:color w:val="000000"/>
                <w:szCs w:val="21"/>
              </w:rPr>
              <w:t>1</w:t>
            </w:r>
          </w:p>
        </w:tc>
      </w:tr>
      <w:tr w14:paraId="4156F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50ABC6A">
            <w:pPr>
              <w:spacing w:line="360" w:lineRule="auto"/>
              <w:jc w:val="center"/>
              <w:rPr>
                <w:rFonts w:hint="eastAsia" w:ascii="宋体" w:hAnsi="宋体" w:eastAsia="宋体" w:cs="宋体"/>
                <w:szCs w:val="21"/>
              </w:rPr>
            </w:pPr>
            <w:r>
              <w:rPr>
                <w:rFonts w:hint="eastAsia" w:ascii="宋体" w:hAnsi="宋体" w:eastAsia="宋体" w:cs="宋体"/>
                <w:color w:val="000000"/>
                <w:szCs w:val="21"/>
              </w:rPr>
              <w:t>2</w:t>
            </w:r>
          </w:p>
        </w:tc>
        <w:tc>
          <w:tcPr>
            <w:tcW w:w="0" w:type="auto"/>
            <w:vMerge w:val="continue"/>
            <w:vAlign w:val="center"/>
          </w:tcPr>
          <w:p w14:paraId="13E71639">
            <w:pPr>
              <w:spacing w:line="360" w:lineRule="auto"/>
              <w:rPr>
                <w:rFonts w:hint="eastAsia" w:ascii="宋体" w:hAnsi="宋体" w:eastAsia="宋体" w:cs="宋体"/>
                <w:szCs w:val="21"/>
              </w:rPr>
            </w:pPr>
          </w:p>
        </w:tc>
        <w:tc>
          <w:tcPr>
            <w:tcW w:w="0" w:type="auto"/>
            <w:vAlign w:val="center"/>
          </w:tcPr>
          <w:p w14:paraId="610B7877">
            <w:pPr>
              <w:spacing w:line="360" w:lineRule="auto"/>
              <w:rPr>
                <w:rFonts w:hint="eastAsia" w:ascii="宋体" w:hAnsi="宋体" w:eastAsia="宋体" w:cs="宋体"/>
                <w:szCs w:val="21"/>
              </w:rPr>
            </w:pPr>
            <w:r>
              <w:rPr>
                <w:rFonts w:hint="eastAsia" w:ascii="宋体" w:hAnsi="宋体" w:eastAsia="宋体" w:cs="宋体"/>
                <w:color w:val="000000"/>
                <w:szCs w:val="21"/>
              </w:rPr>
              <w:t>预警策略精准化改造（“初筛分类 -二次研判-价值分级” 流程建立、关键词阈值分值体系新增、规则引擎与本地化大模型融合）</w:t>
            </w:r>
          </w:p>
        </w:tc>
        <w:tc>
          <w:tcPr>
            <w:tcW w:w="0" w:type="auto"/>
            <w:vAlign w:val="center"/>
          </w:tcPr>
          <w:p w14:paraId="3E2871B9">
            <w:pPr>
              <w:spacing w:line="360" w:lineRule="auto"/>
              <w:jc w:val="center"/>
              <w:rPr>
                <w:rFonts w:hint="eastAsia" w:ascii="宋体" w:hAnsi="宋体" w:eastAsia="宋体" w:cs="宋体"/>
                <w:szCs w:val="21"/>
              </w:rPr>
            </w:pPr>
            <w:r>
              <w:rPr>
                <w:rFonts w:hint="eastAsia" w:ascii="宋体" w:hAnsi="宋体" w:eastAsia="宋体" w:cs="宋体"/>
                <w:color w:val="000000"/>
                <w:szCs w:val="21"/>
              </w:rPr>
              <w:t>项</w:t>
            </w:r>
          </w:p>
        </w:tc>
        <w:tc>
          <w:tcPr>
            <w:tcW w:w="0" w:type="auto"/>
            <w:vAlign w:val="center"/>
          </w:tcPr>
          <w:p w14:paraId="272BC2B9">
            <w:pPr>
              <w:spacing w:line="360" w:lineRule="auto"/>
              <w:rPr>
                <w:rFonts w:hint="eastAsia" w:ascii="宋体" w:hAnsi="宋体" w:eastAsia="宋体" w:cs="宋体"/>
                <w:szCs w:val="21"/>
              </w:rPr>
            </w:pPr>
            <w:r>
              <w:rPr>
                <w:rFonts w:hint="eastAsia" w:ascii="宋体" w:hAnsi="宋体" w:eastAsia="宋体" w:cs="宋体"/>
                <w:color w:val="000000"/>
                <w:szCs w:val="21"/>
              </w:rPr>
              <w:t>1</w:t>
            </w:r>
          </w:p>
        </w:tc>
      </w:tr>
    </w:tbl>
    <w:p w14:paraId="30DEEDD7">
      <w:pPr>
        <w:pStyle w:val="4"/>
      </w:pPr>
      <w:r>
        <w:rPr>
          <w:rFonts w:hint="eastAsia"/>
        </w:rPr>
        <w:t>三、项目预算：</w:t>
      </w:r>
    </w:p>
    <w:p w14:paraId="3A013CE3">
      <w:pPr>
        <w:spacing w:line="500" w:lineRule="exact"/>
        <w:ind w:firstLine="480" w:firstLineChars="200"/>
        <w:rPr>
          <w:rFonts w:hint="eastAsia" w:hAnsi="仿宋"/>
          <w:sz w:val="24"/>
          <w:lang w:val="zh-TW"/>
        </w:rPr>
      </w:pPr>
      <w:r>
        <w:rPr>
          <w:rFonts w:hint="eastAsia" w:hAnsi="仿宋"/>
          <w:sz w:val="24"/>
          <w:lang w:val="zh-TW"/>
        </w:rPr>
        <w:t>最高限价为：人民币1</w:t>
      </w:r>
      <w:r>
        <w:rPr>
          <w:rFonts w:hint="eastAsia" w:hAnsi="仿宋"/>
          <w:sz w:val="24"/>
        </w:rPr>
        <w:t>7.3</w:t>
      </w:r>
      <w:r>
        <w:rPr>
          <w:rFonts w:hint="eastAsia" w:hAnsi="仿宋"/>
          <w:sz w:val="24"/>
          <w:lang w:val="zh-TW"/>
        </w:rPr>
        <w:t>万元。超过最高限价的报价为无效报价。</w:t>
      </w:r>
    </w:p>
    <w:p w14:paraId="28FE3170">
      <w:pPr>
        <w:pStyle w:val="4"/>
        <w:rPr>
          <w:rFonts w:hint="eastAsia" w:hAnsi="仿宋"/>
          <w:bCs/>
          <w:szCs w:val="32"/>
          <w:lang w:val="zh-TW"/>
        </w:rPr>
      </w:pPr>
      <w:r>
        <w:rPr>
          <w:rFonts w:hint="eastAsia" w:hAnsi="仿宋"/>
          <w:bCs/>
          <w:szCs w:val="32"/>
        </w:rPr>
        <w:t>四</w:t>
      </w:r>
      <w:r>
        <w:rPr>
          <w:rFonts w:hint="eastAsia" w:hAnsi="仿宋"/>
          <w:bCs/>
          <w:szCs w:val="32"/>
          <w:lang w:val="zh-TW"/>
        </w:rPr>
        <w:t>、</w:t>
      </w:r>
      <w:r>
        <w:rPr>
          <w:rFonts w:hint="eastAsia" w:hAnsi="仿宋"/>
          <w:bCs/>
          <w:szCs w:val="32"/>
        </w:rPr>
        <w:t>商务条件要求</w:t>
      </w:r>
    </w:p>
    <w:p w14:paraId="69C038C1">
      <w:pPr>
        <w:spacing w:line="500" w:lineRule="exact"/>
        <w:ind w:firstLine="480" w:firstLineChars="200"/>
        <w:rPr>
          <w:rFonts w:hint="eastAsia" w:hAnsi="仿宋"/>
          <w:sz w:val="24"/>
          <w:lang w:val="zh-TW"/>
        </w:rPr>
      </w:pPr>
      <w:r>
        <w:rPr>
          <w:rFonts w:hint="eastAsia" w:hAnsi="仿宋"/>
          <w:sz w:val="24"/>
          <w:lang w:val="zh-TW"/>
        </w:rPr>
        <w:t>1.资格要求：</w:t>
      </w:r>
    </w:p>
    <w:p w14:paraId="0E4E3C14">
      <w:pPr>
        <w:spacing w:line="500" w:lineRule="exact"/>
        <w:ind w:firstLine="480" w:firstLineChars="200"/>
        <w:rPr>
          <w:rFonts w:hint="eastAsia" w:hAnsi="仿宋"/>
          <w:sz w:val="24"/>
          <w:lang w:val="zh-TW"/>
        </w:rPr>
      </w:pPr>
      <w:r>
        <w:rPr>
          <w:rFonts w:hint="eastAsia" w:hAnsi="仿宋"/>
          <w:sz w:val="24"/>
          <w:lang w:val="zh-TW"/>
        </w:rPr>
        <w:t>（1）具有独立承担民事责任能力的在中华人民共和国境内注册的法人或其他组织，提交法人或者其他组织的营业执照等证明文件。</w:t>
      </w:r>
    </w:p>
    <w:p w14:paraId="6A637752">
      <w:pPr>
        <w:spacing w:line="500" w:lineRule="exact"/>
        <w:ind w:firstLine="480" w:firstLineChars="200"/>
        <w:rPr>
          <w:rFonts w:hint="eastAsia" w:hAnsi="仿宋"/>
          <w:sz w:val="24"/>
          <w:lang w:val="zh-TW"/>
        </w:rPr>
      </w:pPr>
      <w:r>
        <w:rPr>
          <w:rFonts w:hint="eastAsia" w:hAnsi="仿宋"/>
          <w:sz w:val="24"/>
          <w:lang w:val="zh-TW"/>
        </w:rPr>
        <w:t>（2）本项目不接受联合体报价。</w:t>
      </w:r>
    </w:p>
    <w:p w14:paraId="04E57D81">
      <w:pPr>
        <w:spacing w:line="500" w:lineRule="exact"/>
        <w:ind w:firstLine="480" w:firstLineChars="200"/>
        <w:rPr>
          <w:rFonts w:hint="eastAsia" w:ascii="仿宋" w:hAnsi="仿宋" w:cs="仿宋"/>
          <w:sz w:val="24"/>
        </w:rPr>
      </w:pPr>
      <w:r>
        <w:rPr>
          <w:rFonts w:hint="eastAsia" w:ascii="仿宋" w:hAnsi="仿宋" w:cs="仿宋"/>
          <w:sz w:val="24"/>
        </w:rPr>
        <w:t>（3）供应商具备软件开发项目实施能力，提供不少于2个软著证书或其他软件开发相关资质证书复印件并加盖公章；</w:t>
      </w:r>
    </w:p>
    <w:p w14:paraId="79E1140F">
      <w:pPr>
        <w:spacing w:line="500" w:lineRule="exact"/>
        <w:ind w:firstLine="480" w:firstLineChars="200"/>
        <w:rPr>
          <w:rFonts w:hint="eastAsia" w:hAnsi="仿宋"/>
          <w:sz w:val="24"/>
          <w:lang w:val="zh-TW"/>
        </w:rPr>
      </w:pPr>
      <w:r>
        <w:rPr>
          <w:rFonts w:hint="eastAsia" w:hAnsi="仿宋"/>
          <w:sz w:val="24"/>
          <w:lang w:val="zh-TW"/>
        </w:rPr>
        <w:t>2.供应商具备以下条件：</w:t>
      </w:r>
    </w:p>
    <w:p w14:paraId="4ACB7112">
      <w:pPr>
        <w:spacing w:line="500" w:lineRule="exact"/>
        <w:ind w:firstLine="480" w:firstLineChars="200"/>
        <w:rPr>
          <w:rFonts w:hint="eastAsia" w:hAnsi="仿宋"/>
          <w:sz w:val="24"/>
        </w:rPr>
      </w:pPr>
      <w:r>
        <w:rPr>
          <w:rFonts w:hint="eastAsia" w:hAnsi="仿宋"/>
          <w:sz w:val="24"/>
        </w:rPr>
        <w:t>（1）在国家司法行政主管部门合法登记注册的具有独立承担民事责任能力的法人或其他组织；</w:t>
      </w:r>
    </w:p>
    <w:p w14:paraId="79BD8F7C">
      <w:pPr>
        <w:spacing w:line="500" w:lineRule="exact"/>
        <w:ind w:firstLine="480" w:firstLineChars="200"/>
        <w:rPr>
          <w:rFonts w:hint="eastAsia" w:hAnsi="仿宋"/>
          <w:sz w:val="24"/>
        </w:rPr>
      </w:pPr>
      <w:r>
        <w:rPr>
          <w:rFonts w:hint="eastAsia" w:hAnsi="仿宋"/>
          <w:sz w:val="24"/>
        </w:rPr>
        <w:t>（2）具有从事本项目的经营范围和能力；</w:t>
      </w:r>
    </w:p>
    <w:p w14:paraId="783680FA">
      <w:pPr>
        <w:spacing w:line="500" w:lineRule="exact"/>
        <w:ind w:firstLine="480" w:firstLineChars="200"/>
        <w:rPr>
          <w:rFonts w:hint="eastAsia" w:hAnsi="仿宋"/>
          <w:sz w:val="24"/>
        </w:rPr>
      </w:pPr>
      <w:r>
        <w:rPr>
          <w:rFonts w:hint="eastAsia" w:hAnsi="仿宋"/>
          <w:sz w:val="24"/>
        </w:rPr>
        <w:t>（3）具有良好的商业信誉和健全的财务会计制度；</w:t>
      </w:r>
    </w:p>
    <w:p w14:paraId="5DFEFD9D">
      <w:pPr>
        <w:spacing w:line="500" w:lineRule="exact"/>
        <w:ind w:firstLine="480" w:firstLineChars="200"/>
        <w:rPr>
          <w:rFonts w:hint="eastAsia" w:hAnsi="仿宋"/>
          <w:sz w:val="24"/>
        </w:rPr>
      </w:pPr>
      <w:r>
        <w:rPr>
          <w:rFonts w:hint="eastAsia" w:hAnsi="仿宋"/>
          <w:sz w:val="24"/>
        </w:rPr>
        <w:t>（4）有依法缴纳税收和社会保障资金的良好记录；</w:t>
      </w:r>
    </w:p>
    <w:p w14:paraId="1A54678C">
      <w:pPr>
        <w:spacing w:line="500" w:lineRule="exact"/>
        <w:ind w:firstLine="480" w:firstLineChars="200"/>
        <w:rPr>
          <w:rFonts w:hint="eastAsia" w:hAnsi="仿宋"/>
          <w:sz w:val="24"/>
          <w:lang w:val="zh-TW"/>
        </w:rPr>
      </w:pPr>
      <w:r>
        <w:rPr>
          <w:rFonts w:hint="eastAsia" w:hAnsi="仿宋"/>
          <w:sz w:val="24"/>
          <w:lang w:val="zh-TW"/>
        </w:rPr>
        <w:t>（5）供应商已清楚</w:t>
      </w:r>
      <w:r>
        <w:rPr>
          <w:rFonts w:hint="eastAsia" w:hAnsi="仿宋"/>
          <w:sz w:val="24"/>
        </w:rPr>
        <w:t>询价</w:t>
      </w:r>
      <w:r>
        <w:rPr>
          <w:rFonts w:hint="eastAsia" w:hAnsi="仿宋"/>
          <w:sz w:val="24"/>
          <w:lang w:val="zh-TW"/>
        </w:rPr>
        <w:t>文件的要求及有关文件规定。</w:t>
      </w:r>
    </w:p>
    <w:p w14:paraId="331534D6">
      <w:pPr>
        <w:spacing w:line="500" w:lineRule="exact"/>
        <w:ind w:firstLine="480" w:firstLineChars="200"/>
        <w:rPr>
          <w:rFonts w:hint="eastAsia" w:hAnsi="仿宋"/>
          <w:sz w:val="24"/>
          <w:lang w:val="zh-TW"/>
        </w:rPr>
      </w:pPr>
      <w:r>
        <w:rPr>
          <w:rFonts w:hint="eastAsia" w:hAnsi="仿宋"/>
          <w:sz w:val="24"/>
          <w:lang w:val="zh-TW"/>
        </w:rPr>
        <w:t>（6）供应商的法定代表人或单位负责人与本项目其他报价人的法定代表人或单位负责人不为同一人且与其他报价人之间不存在直接控股、管理关系。</w:t>
      </w:r>
    </w:p>
    <w:p w14:paraId="4F98BA73">
      <w:pPr>
        <w:spacing w:line="500" w:lineRule="exact"/>
        <w:ind w:firstLine="480" w:firstLineChars="200"/>
        <w:rPr>
          <w:rFonts w:hint="eastAsia" w:hAnsi="仿宋"/>
          <w:sz w:val="24"/>
          <w:lang w:val="zh-TW"/>
        </w:rPr>
      </w:pPr>
      <w:r>
        <w:rPr>
          <w:rFonts w:hint="eastAsia" w:hAnsi="仿宋"/>
          <w:sz w:val="24"/>
          <w:lang w:val="zh-TW"/>
        </w:rPr>
        <w:t>（7）供应商承诺在本次活动中，如有违法、违规、弄虚作假行为，所造成的损失、不良后果及法律责任，一律由供应商承担。</w:t>
      </w:r>
    </w:p>
    <w:p w14:paraId="4D2B2BBD">
      <w:pPr>
        <w:spacing w:line="500" w:lineRule="exact"/>
        <w:ind w:firstLine="480" w:firstLineChars="200"/>
        <w:rPr>
          <w:rFonts w:hint="eastAsia" w:asciiTheme="minorEastAsia" w:hAnsiTheme="minorEastAsia" w:cstheme="minorEastAsia"/>
          <w:sz w:val="28"/>
          <w:szCs w:val="28"/>
        </w:rPr>
      </w:pPr>
      <w:r>
        <w:rPr>
          <w:rFonts w:hint="eastAsia" w:hAnsi="仿宋"/>
          <w:sz w:val="24"/>
        </w:rPr>
        <w:t>3.报价人一旦成为中标人，请及时与采购人联系签订合同，并按照合同规定履行职责。</w:t>
      </w:r>
    </w:p>
    <w:p w14:paraId="0C39D132">
      <w:pPr>
        <w:spacing w:line="360" w:lineRule="auto"/>
        <w:ind w:firstLine="480" w:firstLineChars="200"/>
        <w:rPr>
          <w:rFonts w:hint="eastAsia" w:ascii="宋体" w:hAnsi="宋体" w:cs="Angsana New"/>
          <w:sz w:val="24"/>
          <w:lang w:bidi="th-TH"/>
        </w:rPr>
      </w:pPr>
      <w:r>
        <w:rPr>
          <w:rFonts w:hint="eastAsia" w:ascii="宋体" w:hAnsi="宋体" w:cs="Angsana New"/>
          <w:sz w:val="24"/>
          <w:lang w:bidi="th-TH"/>
        </w:rPr>
        <w:t>4.交付时间：</w:t>
      </w:r>
      <w:r>
        <w:rPr>
          <w:rFonts w:hint="eastAsia" w:ascii="宋体" w:hAnsi="宋体" w:cs="Angsana New"/>
          <w:sz w:val="24"/>
          <w:u w:val="single"/>
          <w:lang w:bidi="th-TH"/>
        </w:rPr>
        <w:t>中标单位需在签订合同后1个月内完成“四个监督”智慧监督赋能平台建设。</w:t>
      </w:r>
    </w:p>
    <w:p w14:paraId="211B3558">
      <w:pPr>
        <w:spacing w:line="360" w:lineRule="auto"/>
        <w:ind w:firstLine="480" w:firstLineChars="200"/>
        <w:rPr>
          <w:rFonts w:hint="eastAsia" w:ascii="宋体" w:hAnsi="宋体" w:cs="Angsana New"/>
          <w:sz w:val="24"/>
          <w:u w:val="single"/>
          <w:lang w:bidi="th-TH"/>
        </w:rPr>
      </w:pPr>
      <w:r>
        <w:rPr>
          <w:rFonts w:hint="eastAsia" w:ascii="宋体" w:hAnsi="宋体" w:cs="Angsana New"/>
          <w:sz w:val="24"/>
          <w:lang w:bidi="th-TH"/>
        </w:rPr>
        <w:t>5.验收标准：</w:t>
      </w:r>
      <w:r>
        <w:rPr>
          <w:rFonts w:hint="eastAsia" w:ascii="宋体" w:hAnsi="宋体" w:cs="Angsana New"/>
          <w:sz w:val="24"/>
          <w:u w:val="single"/>
          <w:lang w:bidi="th-TH"/>
        </w:rPr>
        <w:t>完成本询价文件约定的全部服务内容，各项改造指标符合既定成效要求,经询价人组织核查确认合格后，视为验收通过，</w:t>
      </w:r>
    </w:p>
    <w:p w14:paraId="2BDA4411">
      <w:pPr>
        <w:spacing w:line="360" w:lineRule="auto"/>
        <w:ind w:firstLine="480" w:firstLineChars="200"/>
        <w:rPr>
          <w:rFonts w:hint="eastAsia" w:ascii="宋体" w:hAnsi="宋体" w:cs="Angsana New"/>
          <w:sz w:val="24"/>
          <w:u w:val="single"/>
          <w:lang w:bidi="th-TH"/>
        </w:rPr>
      </w:pPr>
      <w:r>
        <w:rPr>
          <w:rFonts w:hint="eastAsia" w:ascii="宋体" w:hAnsi="宋体" w:cs="Angsana New"/>
          <w:sz w:val="24"/>
          <w:u w:val="single"/>
          <w:lang w:bidi="th-TH"/>
        </w:rPr>
        <w:t>6.运维期：验收通过后三年免费运维期。在免费运维期内，乙方应提供免费维护和升级，保修期内如果发生系统故障，乙方要调查故障原因并修复直至满足最终验收的指标和性能要求，或者更换整个或部分有缺陷的系统。以上都应是免费的。</w:t>
      </w:r>
    </w:p>
    <w:p w14:paraId="6F720482">
      <w:pPr>
        <w:spacing w:line="360" w:lineRule="auto"/>
        <w:ind w:firstLine="480" w:firstLineChars="200"/>
        <w:rPr>
          <w:rFonts w:hint="eastAsia" w:ascii="宋体" w:hAnsi="宋体" w:cs="Angsana New"/>
          <w:sz w:val="24"/>
          <w:u w:val="single"/>
          <w:lang w:bidi="th-TH"/>
        </w:rPr>
      </w:pPr>
      <w:r>
        <w:rPr>
          <w:rFonts w:hint="eastAsia" w:ascii="宋体" w:hAnsi="宋体" w:cs="Angsana New"/>
          <w:sz w:val="24"/>
          <w:lang w:bidi="th-TH"/>
        </w:rPr>
        <w:t>7.付款方式：</w:t>
      </w:r>
      <w:r>
        <w:rPr>
          <w:rFonts w:hint="eastAsia" w:ascii="宋体" w:hAnsi="宋体" w:cs="Angsana New"/>
          <w:sz w:val="24"/>
          <w:u w:val="single"/>
          <w:lang w:bidi="th-TH"/>
        </w:rPr>
        <w:t>项目验收合格后，询价人在收到提交的付款申请、发票及相关验收材料后的20个工作日内，支付95%合同金额,三年免费运维期正常结束后支付剩余5%尾款。</w:t>
      </w:r>
    </w:p>
    <w:p w14:paraId="0423E23F">
      <w:pPr>
        <w:spacing w:line="360" w:lineRule="auto"/>
        <w:ind w:firstLine="480" w:firstLineChars="200"/>
        <w:rPr>
          <w:rFonts w:hint="eastAsia" w:ascii="宋体" w:hAnsi="宋体" w:cs="Angsana New"/>
          <w:sz w:val="24"/>
          <w:u w:val="single"/>
          <w:lang w:bidi="th-TH"/>
        </w:rPr>
      </w:pPr>
      <w:r>
        <w:rPr>
          <w:rFonts w:hint="eastAsia" w:ascii="宋体" w:hAnsi="宋体" w:cs="Angsana New"/>
          <w:sz w:val="24"/>
          <w:u w:val="single"/>
          <w:lang w:bidi="th-TH"/>
        </w:rPr>
        <w:t>8.本项目要求提供增值税专用发票。</w:t>
      </w:r>
    </w:p>
    <w:p w14:paraId="73A9657A">
      <w:pPr>
        <w:pStyle w:val="4"/>
        <w:rPr>
          <w:rFonts w:hint="eastAsia" w:hAnsi="仿宋"/>
          <w:szCs w:val="32"/>
          <w:lang w:val="zh-TW"/>
        </w:rPr>
      </w:pPr>
      <w:r>
        <w:rPr>
          <w:rFonts w:hint="eastAsia" w:hAnsi="仿宋"/>
          <w:bCs/>
          <w:szCs w:val="32"/>
        </w:rPr>
        <w:t>五</w:t>
      </w:r>
      <w:r>
        <w:rPr>
          <w:rFonts w:hint="eastAsia" w:hAnsi="仿宋"/>
          <w:bCs/>
          <w:szCs w:val="32"/>
          <w:lang w:val="zh-TW"/>
        </w:rPr>
        <w:t>、知识产权</w:t>
      </w:r>
    </w:p>
    <w:p w14:paraId="027E88A7">
      <w:pPr>
        <w:spacing w:line="500" w:lineRule="exact"/>
        <w:ind w:firstLine="480" w:firstLineChars="200"/>
        <w:rPr>
          <w:rFonts w:hint="eastAsia" w:hAnsi="仿宋"/>
          <w:sz w:val="24"/>
          <w:lang w:val="zh-TW"/>
        </w:rPr>
      </w:pPr>
      <w:r>
        <w:rPr>
          <w:rFonts w:hint="eastAsia" w:hAnsi="仿宋"/>
          <w:sz w:val="24"/>
          <w:lang w:val="zh-TW"/>
        </w:rPr>
        <w:t>供应商应保证本项目的服务或其任何一部分不会产生因第三方提出侵犯其专利权、商标权或其他知识产权而引起的法律和经济纠纷；如因第三方提出其专利权、商标权或其他知识产权的侵权之诉，则一切法律责任由供应商承担。</w:t>
      </w:r>
    </w:p>
    <w:p w14:paraId="362B4F13">
      <w:pPr>
        <w:pStyle w:val="4"/>
      </w:pPr>
      <w:r>
        <w:rPr>
          <w:rFonts w:hint="eastAsia"/>
        </w:rPr>
        <w:t>六、询价评审时间及提交内容</w:t>
      </w:r>
    </w:p>
    <w:p w14:paraId="48E7D0C3">
      <w:pPr>
        <w:spacing w:line="500" w:lineRule="exact"/>
        <w:ind w:firstLine="480" w:firstLineChars="200"/>
        <w:rPr>
          <w:rFonts w:hint="eastAsia" w:hAnsi="仿宋"/>
          <w:sz w:val="24"/>
        </w:rPr>
      </w:pPr>
      <w:r>
        <w:rPr>
          <w:rFonts w:hint="eastAsia" w:hAnsi="仿宋"/>
          <w:sz w:val="24"/>
        </w:rPr>
        <w:t>（一）请于</w:t>
      </w:r>
      <w:r>
        <w:rPr>
          <w:rFonts w:hint="eastAsia" w:hAnsi="仿宋"/>
          <w:sz w:val="24"/>
          <w:u w:val="single"/>
        </w:rPr>
        <w:t>2026年</w:t>
      </w:r>
      <w:r>
        <w:rPr>
          <w:rFonts w:hint="eastAsia" w:hAnsi="仿宋"/>
          <w:sz w:val="24"/>
          <w:u w:val="single"/>
          <w:lang w:val="en-US" w:eastAsia="zh-CN"/>
        </w:rPr>
        <w:t>6</w:t>
      </w:r>
      <w:r>
        <w:rPr>
          <w:rFonts w:hint="eastAsia" w:hAnsi="仿宋"/>
          <w:sz w:val="24"/>
          <w:u w:val="single"/>
        </w:rPr>
        <w:t>月</w:t>
      </w:r>
      <w:r>
        <w:rPr>
          <w:rFonts w:hint="eastAsia" w:hAnsi="仿宋"/>
          <w:sz w:val="24"/>
          <w:u w:val="single"/>
          <w:lang w:val="en-US" w:eastAsia="zh-CN"/>
        </w:rPr>
        <w:t>5</w:t>
      </w:r>
      <w:r>
        <w:rPr>
          <w:rFonts w:hint="eastAsia" w:hAnsi="仿宋"/>
          <w:sz w:val="24"/>
          <w:u w:val="single"/>
        </w:rPr>
        <w:t>日17:30时</w:t>
      </w:r>
      <w:r>
        <w:rPr>
          <w:rFonts w:hint="eastAsia" w:hAnsi="仿宋"/>
          <w:sz w:val="24"/>
        </w:rPr>
        <w:t>（北京时间）前将报价文件递交到</w:t>
      </w:r>
      <w:r>
        <w:rPr>
          <w:rFonts w:hint="eastAsia" w:hAnsi="仿宋"/>
          <w:sz w:val="24"/>
          <w:u w:val="single"/>
        </w:rPr>
        <w:t>福建省三明市三元区梅岭新村31幢13楼三明市数据集团有限公司</w:t>
      </w:r>
      <w:r>
        <w:rPr>
          <w:rFonts w:hint="eastAsia" w:hAnsi="仿宋"/>
          <w:sz w:val="24"/>
        </w:rPr>
        <w:t>，本次报价不接受电子邮件响应文件，逾期送达的或不符合规定的响应文件将被拒绝接收。</w:t>
      </w:r>
    </w:p>
    <w:p w14:paraId="6BDA02D4">
      <w:pPr>
        <w:spacing w:line="500" w:lineRule="exact"/>
        <w:ind w:firstLine="480" w:firstLineChars="200"/>
        <w:rPr>
          <w:rFonts w:hint="eastAsia" w:hAnsi="仿宋"/>
          <w:sz w:val="24"/>
        </w:rPr>
      </w:pPr>
      <w:r>
        <w:rPr>
          <w:rFonts w:hint="eastAsia" w:hAnsi="仿宋"/>
          <w:sz w:val="24"/>
        </w:rPr>
        <w:t>（二）报价文件1套：正本一份。</w:t>
      </w:r>
    </w:p>
    <w:p w14:paraId="447B5295">
      <w:pPr>
        <w:spacing w:line="500" w:lineRule="exact"/>
        <w:ind w:firstLine="480" w:firstLineChars="200"/>
        <w:rPr>
          <w:rFonts w:hint="eastAsia" w:hAnsi="仿宋"/>
          <w:sz w:val="24"/>
        </w:rPr>
      </w:pPr>
      <w:r>
        <w:rPr>
          <w:rFonts w:hint="eastAsia" w:hAnsi="仿宋"/>
          <w:sz w:val="24"/>
        </w:rPr>
        <w:t>（三）报价文件装订要求：报价</w:t>
      </w:r>
      <w:r>
        <w:rPr>
          <w:rFonts w:hint="eastAsia" w:hAnsi="仿宋"/>
          <w:sz w:val="24"/>
          <w:lang w:val="zh-TW"/>
        </w:rPr>
        <w:t>文件正本一份，</w:t>
      </w:r>
      <w:r>
        <w:rPr>
          <w:rFonts w:hint="eastAsia" w:hAnsi="仿宋"/>
          <w:sz w:val="24"/>
        </w:rPr>
        <w:t>报价</w:t>
      </w:r>
      <w:r>
        <w:rPr>
          <w:rFonts w:hint="eastAsia" w:hAnsi="仿宋"/>
          <w:sz w:val="24"/>
          <w:lang w:val="zh-TW"/>
        </w:rPr>
        <w:t>文件应当密封在一个封套内。</w:t>
      </w:r>
    </w:p>
    <w:p w14:paraId="169B80BD">
      <w:pPr>
        <w:pStyle w:val="4"/>
      </w:pPr>
      <w:r>
        <w:rPr>
          <w:rFonts w:hint="eastAsia"/>
        </w:rPr>
        <w:t>七、评选办法：</w:t>
      </w:r>
    </w:p>
    <w:p w14:paraId="1638C00B">
      <w:pPr>
        <w:spacing w:line="500" w:lineRule="exact"/>
        <w:ind w:firstLine="480" w:firstLineChars="200"/>
        <w:rPr>
          <w:rFonts w:hint="eastAsia" w:hAnsi="仿宋"/>
          <w:sz w:val="24"/>
        </w:rPr>
      </w:pPr>
      <w:r>
        <w:rPr>
          <w:rFonts w:hint="eastAsia" w:hAnsi="仿宋"/>
          <w:sz w:val="24"/>
        </w:rPr>
        <w:t>采用最低价中标法。</w:t>
      </w:r>
    </w:p>
    <w:p w14:paraId="21CEA585">
      <w:pPr>
        <w:pStyle w:val="4"/>
      </w:pPr>
      <w:r>
        <w:rPr>
          <w:rFonts w:hint="eastAsia"/>
        </w:rPr>
        <w:t>八、报价要求：</w:t>
      </w:r>
    </w:p>
    <w:p w14:paraId="57870561">
      <w:pPr>
        <w:spacing w:line="500" w:lineRule="exact"/>
        <w:ind w:firstLine="480" w:firstLineChars="200"/>
        <w:rPr>
          <w:rFonts w:hint="eastAsia" w:hAnsi="仿宋"/>
          <w:sz w:val="24"/>
        </w:rPr>
      </w:pPr>
      <w:r>
        <w:rPr>
          <w:rFonts w:hint="eastAsia" w:hAnsi="仿宋"/>
          <w:sz w:val="24"/>
        </w:rPr>
        <w:t>该报价应包括全部费用，一律不再产生其他额外费用。对各种费用应考虑齐全(包括市场价格或政策性价格的调整)，供方在合同实施期间应保持报价不变，即不因市场价格或政策性价格的调整而增减。</w:t>
      </w:r>
    </w:p>
    <w:p w14:paraId="04999D87">
      <w:pPr>
        <w:pStyle w:val="4"/>
      </w:pPr>
      <w:r>
        <w:rPr>
          <w:rFonts w:hint="eastAsia"/>
        </w:rPr>
        <w:t>九、其他要求</w:t>
      </w:r>
    </w:p>
    <w:p w14:paraId="7F059862">
      <w:pPr>
        <w:spacing w:line="500" w:lineRule="exact"/>
        <w:ind w:firstLine="480" w:firstLineChars="200"/>
        <w:rPr>
          <w:rFonts w:hint="eastAsia" w:hAnsi="仿宋"/>
          <w:sz w:val="24"/>
        </w:rPr>
      </w:pPr>
      <w:r>
        <w:rPr>
          <w:rFonts w:hint="eastAsia" w:hAnsi="仿宋"/>
          <w:sz w:val="24"/>
        </w:rPr>
        <w:t>1.若报价文件逾期未送到则视为放弃；</w:t>
      </w:r>
    </w:p>
    <w:p w14:paraId="5278C1F4">
      <w:pPr>
        <w:pStyle w:val="4"/>
      </w:pPr>
      <w:r>
        <w:rPr>
          <w:rFonts w:hint="eastAsia"/>
        </w:rPr>
        <w:t>十、对本次招标提出询问，请按以下方式联系</w:t>
      </w:r>
    </w:p>
    <w:p w14:paraId="0599FBBB">
      <w:pPr>
        <w:spacing w:line="500" w:lineRule="exact"/>
        <w:ind w:firstLine="480" w:firstLineChars="200"/>
        <w:rPr>
          <w:rFonts w:hint="eastAsia" w:hAnsi="仿宋"/>
          <w:sz w:val="24"/>
        </w:rPr>
      </w:pPr>
      <w:r>
        <w:rPr>
          <w:rFonts w:hint="eastAsia" w:hAnsi="仿宋"/>
          <w:sz w:val="24"/>
        </w:rPr>
        <w:t>采购人信息：名称：三明市数据集团有限公司；</w:t>
      </w:r>
    </w:p>
    <w:p w14:paraId="5EDBA06F">
      <w:pPr>
        <w:spacing w:line="500" w:lineRule="exact"/>
        <w:ind w:firstLine="480" w:firstLineChars="200"/>
        <w:rPr>
          <w:rFonts w:hint="eastAsia" w:hAnsi="仿宋"/>
          <w:sz w:val="24"/>
        </w:rPr>
      </w:pPr>
      <w:r>
        <w:rPr>
          <w:rFonts w:hint="eastAsia" w:hAnsi="仿宋"/>
          <w:sz w:val="24"/>
        </w:rPr>
        <w:t>地址：福建省三明市梅岭新村31幢13楼；</w:t>
      </w:r>
    </w:p>
    <w:p w14:paraId="389E18A5">
      <w:pPr>
        <w:spacing w:line="500" w:lineRule="exact"/>
        <w:ind w:firstLine="480" w:firstLineChars="200"/>
        <w:rPr>
          <w:rFonts w:hint="eastAsia" w:hAnsi="仿宋"/>
          <w:sz w:val="24"/>
        </w:rPr>
      </w:pPr>
      <w:r>
        <w:rPr>
          <w:rFonts w:hint="eastAsia" w:hAnsi="仿宋"/>
          <w:sz w:val="24"/>
        </w:rPr>
        <w:t>联系方式：陈先生，0598-5186669。</w:t>
      </w:r>
    </w:p>
    <w:p w14:paraId="24D9E577">
      <w:pPr>
        <w:spacing w:line="500" w:lineRule="exact"/>
        <w:ind w:firstLine="480" w:firstLineChars="200"/>
      </w:pPr>
      <w:r>
        <w:rPr>
          <w:rFonts w:hint="eastAsia" w:hAnsi="仿宋"/>
          <w:sz w:val="24"/>
        </w:rPr>
        <w:t>主管行政监督部门：三明市国资委  联系电话：8950992</w:t>
      </w:r>
    </w:p>
    <w:p w14:paraId="4EFD0FD6">
      <w:pPr>
        <w:pStyle w:val="8"/>
        <w:spacing w:line="500" w:lineRule="exact"/>
        <w:jc w:val="right"/>
        <w:rPr>
          <w:rFonts w:hint="eastAsia" w:ascii="仿宋" w:hAnsi="仿宋" w:eastAsia="仿宋" w:cs="仿宋"/>
          <w:sz w:val="24"/>
        </w:rPr>
      </w:pPr>
      <w:r>
        <w:rPr>
          <w:rFonts w:hint="eastAsia" w:ascii="仿宋" w:hAnsi="仿宋" w:eastAsia="仿宋" w:cs="仿宋"/>
          <w:color w:val="000000"/>
          <w:sz w:val="24"/>
        </w:rPr>
        <w:t>三明市数据集团有限公司</w:t>
      </w:r>
    </w:p>
    <w:p w14:paraId="0235B708">
      <w:pPr>
        <w:jc w:val="right"/>
        <w:rPr>
          <w:highlight w:val="yellow"/>
        </w:rPr>
      </w:pPr>
      <w:r>
        <w:rPr>
          <w:rFonts w:hint="eastAsia" w:hAnsi="仿宋"/>
        </w:rPr>
        <w:t xml:space="preserve">                            </w:t>
      </w:r>
      <w:r>
        <w:rPr>
          <w:rFonts w:hint="eastAsia" w:hAnsi="仿宋"/>
          <w:sz w:val="24"/>
        </w:rPr>
        <w:t xml:space="preserve">       2026年</w:t>
      </w:r>
      <w:r>
        <w:rPr>
          <w:rFonts w:hint="eastAsia" w:hAnsi="仿宋"/>
          <w:sz w:val="24"/>
          <w:lang w:val="en-US" w:eastAsia="zh-CN"/>
        </w:rPr>
        <w:t>6</w:t>
      </w:r>
      <w:r>
        <w:rPr>
          <w:rFonts w:hint="eastAsia" w:hAnsi="仿宋"/>
          <w:sz w:val="24"/>
        </w:rPr>
        <w:t>月</w:t>
      </w:r>
      <w:r>
        <w:rPr>
          <w:rFonts w:hint="eastAsia" w:hAnsi="仿宋"/>
          <w:sz w:val="24"/>
          <w:lang w:val="en-US" w:eastAsia="zh-CN"/>
        </w:rPr>
        <w:t>1</w:t>
      </w:r>
      <w:bookmarkStart w:id="2" w:name="_GoBack"/>
      <w:bookmarkEnd w:id="2"/>
      <w:r>
        <w:rPr>
          <w:rFonts w:hint="eastAsia" w:hAnsi="仿宋"/>
          <w:sz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ngsana New">
    <w:altName w:val="Microsoft Sans Serif"/>
    <w:panose1 w:val="02020603050405020304"/>
    <w:charset w:val="DE"/>
    <w:family w:val="roman"/>
    <w:pitch w:val="default"/>
    <w:sig w:usb0="00000000" w:usb1="00000000" w:usb2="00000000" w:usb3="00000000" w:csb0="0001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icrosoft Sans Serif">
    <w:panose1 w:val="020B0604020202020204"/>
    <w:charset w:val="00"/>
    <w:family w:val="auto"/>
    <w:pitch w:val="default"/>
    <w:sig w:usb0="E5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4890"/>
    </w:sdtPr>
    <w:sdtContent>
      <w:p w14:paraId="3174A146">
        <w:pPr>
          <w:pStyle w:val="6"/>
          <w:jc w:val="center"/>
        </w:pPr>
        <w:r>
          <w:fldChar w:fldCharType="begin"/>
        </w:r>
        <w:r>
          <w:instrText xml:space="preserve">PAGE   \* MERGEFORMAT</w:instrText>
        </w:r>
        <w:r>
          <w:fldChar w:fldCharType="separate"/>
        </w:r>
        <w:r>
          <w:rPr>
            <w:lang w:val="zh-CN"/>
          </w:rPr>
          <w:t>2</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F339EA"/>
    <w:multiLevelType w:val="singleLevel"/>
    <w:tmpl w:val="E1F339E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F1615C"/>
    <w:rsid w:val="001615EA"/>
    <w:rsid w:val="006B315A"/>
    <w:rsid w:val="00776843"/>
    <w:rsid w:val="009460B5"/>
    <w:rsid w:val="00973534"/>
    <w:rsid w:val="009E5785"/>
    <w:rsid w:val="00CE170E"/>
    <w:rsid w:val="00DC52EB"/>
    <w:rsid w:val="0A7F70FC"/>
    <w:rsid w:val="110C09D7"/>
    <w:rsid w:val="1278210C"/>
    <w:rsid w:val="18F1615C"/>
    <w:rsid w:val="21956A1A"/>
    <w:rsid w:val="28FD6320"/>
    <w:rsid w:val="2C75601C"/>
    <w:rsid w:val="2D3B5EB5"/>
    <w:rsid w:val="34276A20"/>
    <w:rsid w:val="386062B0"/>
    <w:rsid w:val="3B506BDD"/>
    <w:rsid w:val="3FEC7296"/>
    <w:rsid w:val="406A3C92"/>
    <w:rsid w:val="4BB22EA7"/>
    <w:rsid w:val="4D4F590B"/>
    <w:rsid w:val="51E314C6"/>
    <w:rsid w:val="5244358B"/>
    <w:rsid w:val="56996E27"/>
    <w:rsid w:val="583378F5"/>
    <w:rsid w:val="588C2B73"/>
    <w:rsid w:val="5EAB206F"/>
    <w:rsid w:val="680812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3"/>
    <w:qFormat/>
    <w:uiPriority w:val="0"/>
    <w:pPr>
      <w:keepNext/>
      <w:keepLines/>
      <w:spacing w:before="340" w:after="330" w:line="576" w:lineRule="auto"/>
      <w:outlineLvl w:val="0"/>
    </w:pPr>
    <w:rPr>
      <w:b/>
      <w:kern w:val="44"/>
      <w:sz w:val="44"/>
    </w:rPr>
  </w:style>
  <w:style w:type="paragraph" w:styleId="4">
    <w:name w:val="heading 3"/>
    <w:basedOn w:val="1"/>
    <w:next w:val="1"/>
    <w:semiHidden/>
    <w:unhideWhenUsed/>
    <w:qFormat/>
    <w:uiPriority w:val="0"/>
    <w:pPr>
      <w:keepNext/>
      <w:keepLines/>
      <w:spacing w:before="260" w:after="260" w:line="413" w:lineRule="auto"/>
      <w:outlineLvl w:val="2"/>
    </w:pPr>
    <w:rPr>
      <w:rFonts w:eastAsia="黑体"/>
      <w:b/>
      <w:sz w:val="32"/>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customStyle="1" w:styleId="3">
    <w:name w:val="文档正文"/>
    <w:basedOn w:val="1"/>
    <w:qFormat/>
    <w:uiPriority w:val="0"/>
    <w:pPr>
      <w:spacing w:line="360" w:lineRule="auto"/>
      <w:ind w:firstLine="200" w:firstLineChars="200"/>
    </w:pPr>
    <w:rPr>
      <w:rFonts w:ascii="Calibri" w:eastAsia="宋体" w:cs="Times New Roman"/>
    </w:rPr>
  </w:style>
  <w:style w:type="paragraph" w:styleId="5">
    <w:name w:val="Normal Indent"/>
    <w:basedOn w:val="1"/>
    <w:qFormat/>
    <w:uiPriority w:val="0"/>
    <w:pPr>
      <w:ind w:firstLine="420"/>
    </w:pPr>
    <w:rPr>
      <w:szCs w:val="20"/>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link w:val="12"/>
    <w:uiPriority w:val="0"/>
    <w:pPr>
      <w:tabs>
        <w:tab w:val="center" w:pos="4153"/>
        <w:tab w:val="right" w:pos="8306"/>
      </w:tabs>
      <w:snapToGrid w:val="0"/>
      <w:jc w:val="center"/>
    </w:pPr>
    <w:rPr>
      <w:sz w:val="18"/>
      <w:szCs w:val="18"/>
    </w:rPr>
  </w:style>
  <w:style w:type="paragraph" w:styleId="8">
    <w:name w:val="toc 1"/>
    <w:basedOn w:val="1"/>
    <w:next w:val="1"/>
    <w:qFormat/>
    <w:uiPriority w:val="0"/>
    <w:rPr>
      <w:rFonts w:ascii="Times New Roman" w:hAnsi="Times New Roman" w:eastAsia="宋体" w:cs="Times New Roman"/>
    </w:rPr>
  </w:style>
  <w:style w:type="table" w:styleId="10">
    <w:name w:val="Table Grid"/>
    <w:basedOn w:val="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2">
    <w:name w:val="页眉 字符"/>
    <w:basedOn w:val="11"/>
    <w:link w:val="7"/>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1382</Words>
  <Characters>1386</Characters>
  <Lines>23</Lines>
  <Paragraphs>6</Paragraphs>
  <TotalTime>6</TotalTime>
  <ScaleCrop>false</ScaleCrop>
  <LinksUpToDate>false</LinksUpToDate>
  <CharactersWithSpaces>1388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2026-05-28T08:59:00Z</dcterms:created>
  <dc:creator>陈嘉</dc:creator>
  <cp:lastModifiedBy>陈嘉</cp:lastModifiedBy>
  <cp:lastPrinted>2026-05-28T07:07:00Z</cp:lastPrinted>
  <dcterms:modified xsi:type="dcterms:W3CDTF">2026-06-01T07:09:23Z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EF077DE53019444B9572E2BF376E0942_11</vt:lpwstr>
  </property>
  <property fmtid="{D5CDD505-2E9C-101B-9397-08002B2CF9AE}" pid="4" name="KSOTemplateDocerSaveRecord">
    <vt:lpwstr>eyJoZGlkIjoiNGM4ODRiNGUyOWZhNzc0MzFjNzVlM2RjYjdhMGNhZDgiLCJ1c2VySWQiOiI3MzIxNjY3MDIifQ==</vt:lpwstr>
  </property>
</Properties>
</file>